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CBE" w:rsidRPr="00A922BA" w:rsidRDefault="00D30CBE">
      <w:pPr>
        <w:pStyle w:val="Title"/>
        <w:pBdr>
          <w:top w:val="single" w:sz="4" w:space="1" w:color="auto"/>
          <w:left w:val="single" w:sz="4" w:space="4" w:color="auto"/>
          <w:bottom w:val="single" w:sz="4" w:space="1" w:color="auto"/>
          <w:right w:val="single" w:sz="4" w:space="4" w:color="auto"/>
        </w:pBdr>
        <w:rPr>
          <w:b/>
        </w:rPr>
      </w:pPr>
      <w:bookmarkStart w:id="0" w:name="_GoBack"/>
      <w:bookmarkEnd w:id="0"/>
      <w:r w:rsidRPr="00A922BA">
        <w:rPr>
          <w:b/>
        </w:rPr>
        <w:t>College of Public Health &amp; Health Professions</w:t>
      </w:r>
    </w:p>
    <w:p w:rsidR="005E08C3" w:rsidRPr="00A922BA" w:rsidRDefault="005E08C3" w:rsidP="005E08C3">
      <w:pPr>
        <w:pBdr>
          <w:top w:val="single" w:sz="4" w:space="1" w:color="auto"/>
          <w:left w:val="single" w:sz="4" w:space="4" w:color="auto"/>
          <w:bottom w:val="single" w:sz="4" w:space="1" w:color="auto"/>
          <w:right w:val="single" w:sz="4" w:space="4" w:color="auto"/>
        </w:pBdr>
        <w:jc w:val="center"/>
        <w:rPr>
          <w:b/>
          <w:sz w:val="28"/>
        </w:rPr>
      </w:pPr>
    </w:p>
    <w:p w:rsidR="00ED2A10" w:rsidRDefault="005E08C3" w:rsidP="005E08C3">
      <w:pPr>
        <w:pBdr>
          <w:top w:val="single" w:sz="4" w:space="1" w:color="auto"/>
          <w:left w:val="single" w:sz="4" w:space="4" w:color="auto"/>
          <w:bottom w:val="single" w:sz="4" w:space="1" w:color="auto"/>
          <w:right w:val="single" w:sz="4" w:space="4" w:color="auto"/>
        </w:pBdr>
        <w:jc w:val="center"/>
        <w:rPr>
          <w:b/>
          <w:sz w:val="28"/>
        </w:rPr>
      </w:pPr>
      <w:r w:rsidRPr="00A922BA">
        <w:rPr>
          <w:b/>
          <w:sz w:val="28"/>
        </w:rPr>
        <w:t xml:space="preserve">PHC </w:t>
      </w:r>
      <w:r w:rsidR="00AE2E66">
        <w:rPr>
          <w:b/>
          <w:sz w:val="28"/>
        </w:rPr>
        <w:t>7427</w:t>
      </w:r>
    </w:p>
    <w:p w:rsidR="005E08C3" w:rsidRPr="00A922BA" w:rsidRDefault="00896434" w:rsidP="005E08C3">
      <w:pPr>
        <w:pBdr>
          <w:top w:val="single" w:sz="4" w:space="1" w:color="auto"/>
          <w:left w:val="single" w:sz="4" w:space="4" w:color="auto"/>
          <w:bottom w:val="single" w:sz="4" w:space="1" w:color="auto"/>
          <w:right w:val="single" w:sz="4" w:space="4" w:color="auto"/>
        </w:pBdr>
        <w:jc w:val="center"/>
        <w:rPr>
          <w:b/>
          <w:sz w:val="28"/>
        </w:rPr>
      </w:pPr>
      <w:r>
        <w:rPr>
          <w:b/>
          <w:sz w:val="28"/>
        </w:rPr>
        <w:t>Ethics in Population Science</w:t>
      </w:r>
    </w:p>
    <w:p w:rsidR="00D30CBE" w:rsidRPr="00A922BA" w:rsidRDefault="00896434" w:rsidP="005E08C3">
      <w:pPr>
        <w:pBdr>
          <w:top w:val="single" w:sz="4" w:space="1" w:color="auto"/>
          <w:left w:val="single" w:sz="4" w:space="4" w:color="auto"/>
          <w:bottom w:val="single" w:sz="4" w:space="1" w:color="auto"/>
          <w:right w:val="single" w:sz="4" w:space="4" w:color="auto"/>
        </w:pBdr>
        <w:jc w:val="center"/>
        <w:rPr>
          <w:b/>
          <w:sz w:val="28"/>
        </w:rPr>
      </w:pPr>
      <w:r>
        <w:rPr>
          <w:b/>
          <w:sz w:val="28"/>
        </w:rPr>
        <w:t>Spring, 2012</w:t>
      </w:r>
    </w:p>
    <w:p w:rsidR="00D30CBE" w:rsidRPr="00A922BA" w:rsidRDefault="00896434">
      <w:pPr>
        <w:pBdr>
          <w:top w:val="single" w:sz="4" w:space="1" w:color="auto"/>
          <w:left w:val="single" w:sz="4" w:space="4" w:color="auto"/>
          <w:bottom w:val="single" w:sz="4" w:space="1" w:color="auto"/>
          <w:right w:val="single" w:sz="4" w:space="4" w:color="auto"/>
        </w:pBdr>
        <w:jc w:val="center"/>
        <w:rPr>
          <w:b/>
          <w:sz w:val="28"/>
        </w:rPr>
      </w:pPr>
      <w:r>
        <w:rPr>
          <w:b/>
          <w:sz w:val="28"/>
        </w:rPr>
        <w:t>Time TBA</w:t>
      </w:r>
    </w:p>
    <w:p w:rsidR="00D30CBE" w:rsidRPr="00A922BA" w:rsidRDefault="00477105">
      <w:pPr>
        <w:pStyle w:val="Heading1"/>
        <w:pBdr>
          <w:top w:val="single" w:sz="4" w:space="1" w:color="auto"/>
          <w:left w:val="single" w:sz="4" w:space="4" w:color="auto"/>
          <w:bottom w:val="single" w:sz="4" w:space="1" w:color="auto"/>
          <w:right w:val="single" w:sz="4" w:space="4" w:color="auto"/>
        </w:pBdr>
        <w:jc w:val="center"/>
        <w:rPr>
          <w:b/>
          <w:sz w:val="28"/>
        </w:rPr>
      </w:pPr>
      <w:r w:rsidRPr="00896434">
        <w:rPr>
          <w:b/>
          <w:sz w:val="28"/>
        </w:rPr>
        <w:t>HPNP</w:t>
      </w:r>
    </w:p>
    <w:p w:rsidR="00D30CBE" w:rsidRDefault="00D30CBE"/>
    <w:p w:rsidR="00D30CBE" w:rsidRDefault="00D30CBE">
      <w:pPr>
        <w:pStyle w:val="Heading4"/>
        <w:widowControl/>
        <w:rPr>
          <w:bCs/>
          <w:snapToGrid/>
        </w:rPr>
      </w:pPr>
      <w:r>
        <w:rPr>
          <w:bCs/>
          <w:snapToGrid/>
        </w:rPr>
        <w:t>Instructor Information</w:t>
      </w:r>
    </w:p>
    <w:p w:rsidR="00D30CBE" w:rsidRDefault="00D30CBE">
      <w:pPr>
        <w:rPr>
          <w:sz w:val="24"/>
        </w:rPr>
      </w:pPr>
    </w:p>
    <w:p w:rsidR="00D30CBE" w:rsidRDefault="00C54EF9">
      <w:pPr>
        <w:ind w:left="720"/>
        <w:rPr>
          <w:sz w:val="24"/>
        </w:rPr>
      </w:pPr>
      <w:r>
        <w:rPr>
          <w:sz w:val="24"/>
        </w:rPr>
        <w:t xml:space="preserve">Assistant Professor </w:t>
      </w:r>
      <w:r w:rsidR="00477105">
        <w:rPr>
          <w:sz w:val="24"/>
        </w:rPr>
        <w:t>Catherine Woodstock Striley, PhD, MSW, MPE</w:t>
      </w:r>
    </w:p>
    <w:p w:rsidR="00477105" w:rsidRDefault="00C54EF9" w:rsidP="00477105">
      <w:pPr>
        <w:ind w:left="720"/>
        <w:rPr>
          <w:sz w:val="24"/>
        </w:rPr>
      </w:pPr>
      <w:r>
        <w:rPr>
          <w:sz w:val="24"/>
        </w:rPr>
        <w:t>Department</w:t>
      </w:r>
      <w:r w:rsidR="00477105" w:rsidRPr="00477105">
        <w:rPr>
          <w:sz w:val="24"/>
        </w:rPr>
        <w:t xml:space="preserve"> of Epidemiology </w:t>
      </w:r>
    </w:p>
    <w:p w:rsidR="00207463" w:rsidRDefault="00207463" w:rsidP="00477105">
      <w:pPr>
        <w:ind w:left="720"/>
        <w:rPr>
          <w:sz w:val="24"/>
        </w:rPr>
      </w:pPr>
      <w:r>
        <w:rPr>
          <w:sz w:val="24"/>
        </w:rPr>
        <w:t>College of Public Health and Health Professions</w:t>
      </w:r>
    </w:p>
    <w:p w:rsidR="00207463" w:rsidRPr="00477105" w:rsidRDefault="00207463" w:rsidP="00477105">
      <w:pPr>
        <w:ind w:left="720"/>
        <w:rPr>
          <w:sz w:val="24"/>
        </w:rPr>
      </w:pPr>
      <w:r>
        <w:rPr>
          <w:sz w:val="24"/>
        </w:rPr>
        <w:t>College of Medicine</w:t>
      </w:r>
    </w:p>
    <w:p w:rsidR="00477105" w:rsidRPr="00477105" w:rsidRDefault="00477105" w:rsidP="00477105">
      <w:pPr>
        <w:ind w:left="720"/>
        <w:rPr>
          <w:sz w:val="24"/>
        </w:rPr>
      </w:pPr>
      <w:r w:rsidRPr="00477105">
        <w:rPr>
          <w:sz w:val="24"/>
        </w:rPr>
        <w:t>P O Box 100231 - 101 S. Newell Drive</w:t>
      </w:r>
    </w:p>
    <w:p w:rsidR="00896434" w:rsidRDefault="00896434" w:rsidP="00477105">
      <w:pPr>
        <w:ind w:left="720"/>
        <w:rPr>
          <w:sz w:val="24"/>
        </w:rPr>
      </w:pPr>
      <w:r>
        <w:rPr>
          <w:sz w:val="24"/>
        </w:rPr>
        <w:t>HPNP 3110</w:t>
      </w:r>
    </w:p>
    <w:p w:rsidR="00477105" w:rsidRPr="00477105" w:rsidRDefault="00477105" w:rsidP="00477105">
      <w:pPr>
        <w:ind w:left="720"/>
        <w:rPr>
          <w:sz w:val="24"/>
        </w:rPr>
      </w:pPr>
      <w:r w:rsidRPr="00477105">
        <w:rPr>
          <w:sz w:val="24"/>
        </w:rPr>
        <w:t>Gainesville FL 32611-0231</w:t>
      </w:r>
    </w:p>
    <w:p w:rsidR="00896434" w:rsidRDefault="00477105" w:rsidP="00477105">
      <w:pPr>
        <w:ind w:left="720"/>
        <w:rPr>
          <w:sz w:val="24"/>
        </w:rPr>
      </w:pPr>
      <w:r w:rsidRPr="00477105">
        <w:rPr>
          <w:sz w:val="24"/>
        </w:rPr>
        <w:t>Phone:  352-273-</w:t>
      </w:r>
      <w:r w:rsidR="00896434">
        <w:rPr>
          <w:sz w:val="24"/>
        </w:rPr>
        <w:t>5359</w:t>
      </w:r>
    </w:p>
    <w:p w:rsidR="00477105" w:rsidRPr="00477105" w:rsidRDefault="00477105" w:rsidP="00477105">
      <w:pPr>
        <w:ind w:left="720"/>
        <w:rPr>
          <w:sz w:val="24"/>
        </w:rPr>
      </w:pPr>
      <w:r w:rsidRPr="00477105">
        <w:rPr>
          <w:sz w:val="24"/>
        </w:rPr>
        <w:t>Fax:  352-273-536</w:t>
      </w:r>
      <w:r w:rsidR="00896434">
        <w:rPr>
          <w:sz w:val="24"/>
        </w:rPr>
        <w:t>5</w:t>
      </w:r>
    </w:p>
    <w:p w:rsidR="00D30CBE" w:rsidRDefault="00896434">
      <w:pPr>
        <w:ind w:left="720"/>
        <w:rPr>
          <w:sz w:val="24"/>
        </w:rPr>
      </w:pPr>
      <w:r>
        <w:rPr>
          <w:sz w:val="24"/>
        </w:rPr>
        <w:t>cstriley@ufl.edu</w:t>
      </w:r>
    </w:p>
    <w:p w:rsidR="00D30CBE" w:rsidRDefault="00D30CBE">
      <w:pPr>
        <w:ind w:left="720"/>
        <w:rPr>
          <w:sz w:val="24"/>
        </w:rPr>
      </w:pPr>
      <w:r>
        <w:rPr>
          <w:sz w:val="24"/>
        </w:rPr>
        <w:t>Office Hours</w:t>
      </w:r>
      <w:r w:rsidR="00196019">
        <w:rPr>
          <w:sz w:val="24"/>
        </w:rPr>
        <w:t>:</w:t>
      </w:r>
      <w:r w:rsidR="00207463">
        <w:rPr>
          <w:sz w:val="24"/>
        </w:rPr>
        <w:t xml:space="preserve"> </w:t>
      </w:r>
      <w:r w:rsidR="00196019">
        <w:rPr>
          <w:sz w:val="24"/>
        </w:rPr>
        <w:t>Tuesday 9 -11 am or by arrangement with instructor.  Evening and Saturday hours are available.</w:t>
      </w:r>
    </w:p>
    <w:p w:rsidR="00D30CBE" w:rsidRDefault="00D30CBE">
      <w:pPr>
        <w:rPr>
          <w:sz w:val="24"/>
        </w:rPr>
      </w:pPr>
    </w:p>
    <w:p w:rsidR="00D30CBE" w:rsidRDefault="00D30CBE">
      <w:pPr>
        <w:pStyle w:val="Heading4"/>
        <w:widowControl/>
        <w:rPr>
          <w:bCs/>
          <w:snapToGrid/>
        </w:rPr>
      </w:pPr>
      <w:r>
        <w:rPr>
          <w:bCs/>
          <w:snapToGrid/>
        </w:rPr>
        <w:t>Course Overview or Purpose</w:t>
      </w:r>
    </w:p>
    <w:p w:rsidR="00D30CBE" w:rsidRDefault="00D30CBE">
      <w:pPr>
        <w:rPr>
          <w:sz w:val="24"/>
        </w:rPr>
      </w:pPr>
    </w:p>
    <w:p w:rsidR="00207463" w:rsidRDefault="009A1A30" w:rsidP="008F5F5B">
      <w:pPr>
        <w:rPr>
          <w:sz w:val="24"/>
        </w:rPr>
      </w:pPr>
      <w:r w:rsidRPr="009A1A30">
        <w:rPr>
          <w:sz w:val="24"/>
        </w:rPr>
        <w:t>This is an introductory course in ethics for those enrolled in graduate programs in epidemiology,</w:t>
      </w:r>
      <w:r>
        <w:rPr>
          <w:sz w:val="24"/>
        </w:rPr>
        <w:t xml:space="preserve"> </w:t>
      </w:r>
      <w:r w:rsidRPr="009A1A30">
        <w:rPr>
          <w:sz w:val="24"/>
        </w:rPr>
        <w:t>other health-related programs, or researc</w:t>
      </w:r>
      <w:r>
        <w:rPr>
          <w:sz w:val="24"/>
        </w:rPr>
        <w:t xml:space="preserve">h-intensive graduate programs, </w:t>
      </w:r>
      <w:r w:rsidRPr="009A1A30">
        <w:rPr>
          <w:sz w:val="24"/>
        </w:rPr>
        <w:t>providing students with exposure to the DHHS- and NIH-mandated curriculum in the Responsible Conduct of Research. Ethical principles and frameworks for analysis will be taught to help students develo</w:t>
      </w:r>
      <w:r>
        <w:rPr>
          <w:sz w:val="24"/>
        </w:rPr>
        <w:t xml:space="preserve">p their own ethical reasoning. </w:t>
      </w:r>
      <w:r w:rsidRPr="009A1A30">
        <w:rPr>
          <w:sz w:val="24"/>
        </w:rPr>
        <w:t>Instruction in standards for accountability, and sanctions for violating those standards, will be given. The dynamic interplay between mandated regulatory standards, professional ethical conduct codes, University policies and personal values will be ill</w:t>
      </w:r>
      <w:r>
        <w:rPr>
          <w:sz w:val="24"/>
        </w:rPr>
        <w:t xml:space="preserve">ustrated through case studies. </w:t>
      </w:r>
      <w:r w:rsidRPr="009A1A30">
        <w:rPr>
          <w:sz w:val="24"/>
        </w:rPr>
        <w:t xml:space="preserve">The course will combine didactics with case studies and will integrate web-based teaching tools.  </w:t>
      </w:r>
    </w:p>
    <w:p w:rsidR="00896434" w:rsidRPr="008F5F5B" w:rsidRDefault="00896434" w:rsidP="008F5F5B">
      <w:pPr>
        <w:rPr>
          <w:sz w:val="24"/>
        </w:rPr>
      </w:pPr>
    </w:p>
    <w:p w:rsidR="00D30CBE" w:rsidRDefault="00D30CBE">
      <w:pPr>
        <w:pStyle w:val="Heading4"/>
        <w:widowControl/>
        <w:rPr>
          <w:bCs/>
          <w:snapToGrid/>
        </w:rPr>
      </w:pPr>
      <w:r>
        <w:rPr>
          <w:bCs/>
          <w:snapToGrid/>
        </w:rPr>
        <w:t>Course Objectives and/or Goals</w:t>
      </w:r>
    </w:p>
    <w:p w:rsidR="00896434" w:rsidRDefault="00896434">
      <w:pPr>
        <w:rPr>
          <w:sz w:val="24"/>
        </w:rPr>
      </w:pPr>
    </w:p>
    <w:p w:rsidR="00D30CBE" w:rsidRDefault="00D30CBE">
      <w:pPr>
        <w:rPr>
          <w:sz w:val="24"/>
        </w:rPr>
      </w:pPr>
      <w:r>
        <w:rPr>
          <w:sz w:val="24"/>
        </w:rPr>
        <w:t>Upon successful completion of the course, students should be able to</w:t>
      </w:r>
    </w:p>
    <w:p w:rsidR="00896434" w:rsidRDefault="009F7337">
      <w:pPr>
        <w:rPr>
          <w:sz w:val="24"/>
        </w:rPr>
      </w:pPr>
      <w:r>
        <w:rPr>
          <w:sz w:val="24"/>
        </w:rPr>
        <w:t xml:space="preserve">1. </w:t>
      </w:r>
      <w:r w:rsidR="00896434">
        <w:rPr>
          <w:sz w:val="24"/>
        </w:rPr>
        <w:t xml:space="preserve">Discuss at least two ethical theories and </w:t>
      </w:r>
      <w:r w:rsidR="000E5365">
        <w:rPr>
          <w:sz w:val="24"/>
        </w:rPr>
        <w:t>their application to research conduct.</w:t>
      </w:r>
    </w:p>
    <w:p w:rsidR="00896434" w:rsidRDefault="00896434">
      <w:pPr>
        <w:rPr>
          <w:sz w:val="24"/>
        </w:rPr>
      </w:pPr>
      <w:r>
        <w:rPr>
          <w:sz w:val="24"/>
        </w:rPr>
        <w:t>2. Describe the federal definition of research misconduct and possible sanctions for misconduct and the UF responsible conduct policies, procedure for reporting misconduct and investigating misconduct.</w:t>
      </w:r>
    </w:p>
    <w:p w:rsidR="009F7337" w:rsidRDefault="00896434" w:rsidP="00896434">
      <w:pPr>
        <w:rPr>
          <w:sz w:val="24"/>
        </w:rPr>
      </w:pPr>
      <w:r>
        <w:rPr>
          <w:sz w:val="24"/>
        </w:rPr>
        <w:t xml:space="preserve">3. Exhibit highly developed ethical reasoning skills </w:t>
      </w:r>
      <w:r w:rsidR="00C369A4">
        <w:rPr>
          <w:sz w:val="24"/>
        </w:rPr>
        <w:t xml:space="preserve">in an </w:t>
      </w:r>
      <w:r>
        <w:rPr>
          <w:sz w:val="24"/>
        </w:rPr>
        <w:t>analy</w:t>
      </w:r>
      <w:r w:rsidR="00C369A4">
        <w:rPr>
          <w:sz w:val="24"/>
        </w:rPr>
        <w:t>sis of</w:t>
      </w:r>
      <w:r>
        <w:rPr>
          <w:sz w:val="24"/>
        </w:rPr>
        <w:t xml:space="preserve"> a case of questionable research conduct.</w:t>
      </w:r>
    </w:p>
    <w:p w:rsidR="00C369A4" w:rsidRDefault="009F7337" w:rsidP="00C369A4">
      <w:pPr>
        <w:rPr>
          <w:sz w:val="24"/>
        </w:rPr>
      </w:pPr>
      <w:r>
        <w:rPr>
          <w:sz w:val="24"/>
        </w:rPr>
        <w:lastRenderedPageBreak/>
        <w:t xml:space="preserve">4. </w:t>
      </w:r>
      <w:r w:rsidR="00C369A4">
        <w:rPr>
          <w:sz w:val="24"/>
        </w:rPr>
        <w:t>Describe questionable research conduct and responsible research conduct in relation to study design, implementation, dissemination of findings and peer review of grants and manuscripts.</w:t>
      </w:r>
    </w:p>
    <w:p w:rsidR="00207463" w:rsidRDefault="00C369A4" w:rsidP="00C369A4">
      <w:pPr>
        <w:rPr>
          <w:bCs/>
        </w:rPr>
      </w:pPr>
      <w:r>
        <w:rPr>
          <w:bCs/>
        </w:rPr>
        <w:t xml:space="preserve"> </w:t>
      </w:r>
    </w:p>
    <w:p w:rsidR="00D30CBE" w:rsidRDefault="00D30CBE">
      <w:pPr>
        <w:pStyle w:val="Heading4"/>
        <w:widowControl/>
        <w:rPr>
          <w:bCs/>
          <w:snapToGrid/>
        </w:rPr>
      </w:pPr>
      <w:r>
        <w:rPr>
          <w:bCs/>
          <w:snapToGrid/>
        </w:rPr>
        <w:t>Course Materials</w:t>
      </w:r>
    </w:p>
    <w:p w:rsidR="009A1A30" w:rsidRDefault="009A1A30">
      <w:pPr>
        <w:rPr>
          <w:sz w:val="24"/>
        </w:rPr>
      </w:pPr>
    </w:p>
    <w:p w:rsidR="00C369A4" w:rsidRDefault="00C369A4">
      <w:pPr>
        <w:rPr>
          <w:sz w:val="24"/>
        </w:rPr>
      </w:pPr>
      <w:r>
        <w:rPr>
          <w:sz w:val="24"/>
        </w:rPr>
        <w:t xml:space="preserve">Steneck, N. (2007). ORI Introduction to the Responsible Conduct of Research. Washington, DC: Office of Government Printing Office.  </w:t>
      </w:r>
      <w:r w:rsidRPr="00C369A4">
        <w:rPr>
          <w:sz w:val="24"/>
        </w:rPr>
        <w:t>Stock #: 017-023-00214-7</w:t>
      </w:r>
    </w:p>
    <w:p w:rsidR="00D30CBE" w:rsidRDefault="00C369A4">
      <w:pPr>
        <w:rPr>
          <w:sz w:val="24"/>
        </w:rPr>
      </w:pPr>
      <w:r>
        <w:rPr>
          <w:sz w:val="24"/>
        </w:rPr>
        <w:t xml:space="preserve">Available for purchase at: </w:t>
      </w:r>
      <w:hyperlink r:id="rId8" w:history="1">
        <w:r w:rsidRPr="00B65CAD">
          <w:rPr>
            <w:rStyle w:val="Hyperlink"/>
            <w:sz w:val="24"/>
          </w:rPr>
          <w:t>http://bookstore.gpo.gov/collections/ori-research.jsp</w:t>
        </w:r>
      </w:hyperlink>
    </w:p>
    <w:p w:rsidR="00C369A4" w:rsidRDefault="00C369A4">
      <w:pPr>
        <w:rPr>
          <w:sz w:val="24"/>
        </w:rPr>
      </w:pPr>
    </w:p>
    <w:p w:rsidR="00484B30" w:rsidRDefault="00A922BA">
      <w:pPr>
        <w:rPr>
          <w:sz w:val="24"/>
        </w:rPr>
      </w:pPr>
      <w:r>
        <w:rPr>
          <w:sz w:val="24"/>
        </w:rPr>
        <w:t xml:space="preserve">All additional readings </w:t>
      </w:r>
      <w:r w:rsidR="00C369A4">
        <w:rPr>
          <w:sz w:val="24"/>
        </w:rPr>
        <w:t xml:space="preserve">will be available for download on Sakai or through the internet. </w:t>
      </w:r>
    </w:p>
    <w:p w:rsidR="00C369A4" w:rsidRDefault="00C369A4">
      <w:pPr>
        <w:rPr>
          <w:sz w:val="24"/>
        </w:rPr>
      </w:pPr>
    </w:p>
    <w:p w:rsidR="006B50D2" w:rsidRDefault="006B50D2">
      <w:pPr>
        <w:pStyle w:val="Heading4"/>
        <w:widowControl/>
        <w:rPr>
          <w:b w:val="0"/>
          <w:bCs/>
          <w:snapToGrid/>
          <w:u w:val="none"/>
        </w:rPr>
      </w:pPr>
      <w:r>
        <w:rPr>
          <w:bCs/>
          <w:snapToGrid/>
        </w:rPr>
        <w:t xml:space="preserve">Prerequisites:  </w:t>
      </w:r>
      <w:r w:rsidR="00C369A4">
        <w:rPr>
          <w:b w:val="0"/>
          <w:bCs/>
          <w:snapToGrid/>
          <w:u w:val="none"/>
        </w:rPr>
        <w:t>None.</w:t>
      </w:r>
    </w:p>
    <w:p w:rsidR="00C369A4" w:rsidRPr="00C369A4" w:rsidRDefault="00C369A4" w:rsidP="00C369A4"/>
    <w:p w:rsidR="00D30CBE" w:rsidRDefault="00D30CBE">
      <w:pPr>
        <w:pStyle w:val="Heading4"/>
        <w:widowControl/>
        <w:rPr>
          <w:bCs/>
          <w:snapToGrid/>
        </w:rPr>
      </w:pPr>
      <w:r>
        <w:rPr>
          <w:bCs/>
          <w:snapToGrid/>
        </w:rPr>
        <w:t xml:space="preserve">Course Requirements/Evaluation/Grading </w:t>
      </w:r>
    </w:p>
    <w:p w:rsidR="00C369A4" w:rsidRDefault="00C369A4" w:rsidP="00C369A4"/>
    <w:p w:rsidR="00C369A4" w:rsidRPr="00C369A4" w:rsidRDefault="00C369A4" w:rsidP="00C369A4">
      <w:pPr>
        <w:rPr>
          <w:sz w:val="24"/>
          <w:szCs w:val="24"/>
        </w:rPr>
      </w:pPr>
      <w:r w:rsidRPr="00C369A4">
        <w:rPr>
          <w:sz w:val="24"/>
          <w:szCs w:val="24"/>
        </w:rPr>
        <w:t>This course is graded Pass/Fail.</w:t>
      </w:r>
    </w:p>
    <w:p w:rsidR="00D12BF8" w:rsidRDefault="00D12BF8">
      <w:pPr>
        <w:ind w:left="720"/>
        <w:rPr>
          <w:sz w:val="24"/>
        </w:rPr>
      </w:pPr>
    </w:p>
    <w:p w:rsidR="00D12BF8" w:rsidRPr="00D12BF8" w:rsidRDefault="00D12BF8" w:rsidP="00D12BF8">
      <w:pPr>
        <w:rPr>
          <w:b/>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8"/>
        <w:gridCol w:w="5310"/>
        <w:gridCol w:w="1440"/>
        <w:gridCol w:w="1548"/>
      </w:tblGrid>
      <w:tr w:rsidR="00C848D1" w:rsidRPr="00D14170" w:rsidTr="00C848D1">
        <w:tc>
          <w:tcPr>
            <w:tcW w:w="1278" w:type="dxa"/>
          </w:tcPr>
          <w:p w:rsidR="00C848D1" w:rsidRDefault="00C848D1" w:rsidP="00D14170">
            <w:pPr>
              <w:jc w:val="center"/>
              <w:rPr>
                <w:b/>
                <w:sz w:val="24"/>
              </w:rPr>
            </w:pPr>
            <w:r>
              <w:rPr>
                <w:b/>
                <w:sz w:val="24"/>
              </w:rPr>
              <w:t xml:space="preserve">Assign-ment </w:t>
            </w:r>
          </w:p>
          <w:p w:rsidR="00C848D1" w:rsidRPr="00D14170" w:rsidRDefault="00C848D1" w:rsidP="00D14170">
            <w:pPr>
              <w:jc w:val="center"/>
              <w:rPr>
                <w:b/>
                <w:sz w:val="24"/>
              </w:rPr>
            </w:pPr>
            <w:r>
              <w:rPr>
                <w:b/>
                <w:sz w:val="24"/>
              </w:rPr>
              <w:t>#</w:t>
            </w:r>
          </w:p>
        </w:tc>
        <w:tc>
          <w:tcPr>
            <w:tcW w:w="5310" w:type="dxa"/>
          </w:tcPr>
          <w:p w:rsidR="00C848D1" w:rsidRDefault="00C848D1" w:rsidP="00D14170">
            <w:pPr>
              <w:jc w:val="center"/>
              <w:rPr>
                <w:b/>
                <w:sz w:val="24"/>
              </w:rPr>
            </w:pPr>
            <w:r w:rsidRPr="00D14170">
              <w:rPr>
                <w:b/>
                <w:sz w:val="24"/>
              </w:rPr>
              <w:t>Requirement</w:t>
            </w:r>
          </w:p>
          <w:p w:rsidR="00C848D1" w:rsidRPr="00D14170" w:rsidRDefault="00C848D1" w:rsidP="00D14170">
            <w:pPr>
              <w:jc w:val="center"/>
              <w:rPr>
                <w:b/>
                <w:sz w:val="24"/>
              </w:rPr>
            </w:pPr>
            <w:r>
              <w:rPr>
                <w:b/>
                <w:sz w:val="24"/>
              </w:rPr>
              <w:t>Choose a particular public health problem to complete the assignments.  With instructor pe</w:t>
            </w:r>
            <w:r w:rsidR="00A922BA">
              <w:rPr>
                <w:b/>
                <w:sz w:val="24"/>
              </w:rPr>
              <w:t>rmission, you can change topics</w:t>
            </w:r>
            <w:r>
              <w:rPr>
                <w:b/>
                <w:sz w:val="24"/>
              </w:rPr>
              <w:t>.</w:t>
            </w:r>
          </w:p>
        </w:tc>
        <w:tc>
          <w:tcPr>
            <w:tcW w:w="1440" w:type="dxa"/>
          </w:tcPr>
          <w:p w:rsidR="00C848D1" w:rsidRPr="00D14170" w:rsidRDefault="00A922BA" w:rsidP="00D14170">
            <w:pPr>
              <w:jc w:val="center"/>
              <w:rPr>
                <w:b/>
                <w:sz w:val="24"/>
              </w:rPr>
            </w:pPr>
            <w:r>
              <w:rPr>
                <w:b/>
                <w:sz w:val="24"/>
              </w:rPr>
              <w:t>Date Due</w:t>
            </w:r>
          </w:p>
        </w:tc>
        <w:tc>
          <w:tcPr>
            <w:tcW w:w="1548" w:type="dxa"/>
          </w:tcPr>
          <w:p w:rsidR="00C848D1" w:rsidRDefault="00D1160D" w:rsidP="00D14170">
            <w:pPr>
              <w:jc w:val="center"/>
              <w:rPr>
                <w:b/>
                <w:sz w:val="24"/>
              </w:rPr>
            </w:pPr>
            <w:r>
              <w:rPr>
                <w:b/>
                <w:sz w:val="24"/>
              </w:rPr>
              <w:t>Criteria for Grading</w:t>
            </w:r>
          </w:p>
          <w:p w:rsidR="00C848D1" w:rsidRPr="00D14170" w:rsidRDefault="00C848D1" w:rsidP="00A922BA">
            <w:pPr>
              <w:jc w:val="center"/>
              <w:rPr>
                <w:b/>
                <w:sz w:val="24"/>
              </w:rPr>
            </w:pPr>
          </w:p>
        </w:tc>
      </w:tr>
      <w:tr w:rsidR="00C848D1" w:rsidRPr="00D14170" w:rsidTr="00C848D1">
        <w:tc>
          <w:tcPr>
            <w:tcW w:w="1278" w:type="dxa"/>
          </w:tcPr>
          <w:p w:rsidR="00C848D1" w:rsidRDefault="00C369A4" w:rsidP="00C369A4">
            <w:pPr>
              <w:jc w:val="center"/>
              <w:rPr>
                <w:sz w:val="24"/>
              </w:rPr>
            </w:pPr>
            <w:r>
              <w:rPr>
                <w:sz w:val="24"/>
              </w:rPr>
              <w:t>1</w:t>
            </w:r>
          </w:p>
        </w:tc>
        <w:tc>
          <w:tcPr>
            <w:tcW w:w="5310" w:type="dxa"/>
          </w:tcPr>
          <w:p w:rsidR="00C848D1" w:rsidRPr="00D14170" w:rsidRDefault="00C369A4" w:rsidP="00F7325E">
            <w:pPr>
              <w:rPr>
                <w:sz w:val="24"/>
              </w:rPr>
            </w:pPr>
            <w:r>
              <w:rPr>
                <w:sz w:val="24"/>
              </w:rPr>
              <w:t>Class participation.  Students are expected to participate in classroom discussions AND in posting to the class listserv.</w:t>
            </w:r>
          </w:p>
        </w:tc>
        <w:tc>
          <w:tcPr>
            <w:tcW w:w="1440" w:type="dxa"/>
          </w:tcPr>
          <w:p w:rsidR="00C848D1" w:rsidRPr="00D14170" w:rsidRDefault="00C369A4" w:rsidP="00C369A4">
            <w:pPr>
              <w:jc w:val="center"/>
              <w:rPr>
                <w:sz w:val="24"/>
              </w:rPr>
            </w:pPr>
            <w:r>
              <w:rPr>
                <w:sz w:val="24"/>
              </w:rPr>
              <w:t>NA</w:t>
            </w:r>
          </w:p>
        </w:tc>
        <w:tc>
          <w:tcPr>
            <w:tcW w:w="1548" w:type="dxa"/>
          </w:tcPr>
          <w:p w:rsidR="00C848D1" w:rsidRPr="00D14170" w:rsidRDefault="00D1160D" w:rsidP="00D14170">
            <w:pPr>
              <w:jc w:val="center"/>
              <w:rPr>
                <w:sz w:val="24"/>
              </w:rPr>
            </w:pPr>
            <w:r>
              <w:rPr>
                <w:sz w:val="24"/>
              </w:rPr>
              <w:t>Pass = adequate participation</w:t>
            </w:r>
          </w:p>
        </w:tc>
      </w:tr>
      <w:tr w:rsidR="00D1160D" w:rsidRPr="00D14170" w:rsidTr="00C848D1">
        <w:tc>
          <w:tcPr>
            <w:tcW w:w="1278" w:type="dxa"/>
          </w:tcPr>
          <w:p w:rsidR="00D1160D" w:rsidRDefault="00D1160D" w:rsidP="00C369A4">
            <w:pPr>
              <w:jc w:val="center"/>
              <w:rPr>
                <w:sz w:val="24"/>
              </w:rPr>
            </w:pPr>
            <w:r>
              <w:rPr>
                <w:sz w:val="24"/>
              </w:rPr>
              <w:t>2</w:t>
            </w:r>
          </w:p>
        </w:tc>
        <w:tc>
          <w:tcPr>
            <w:tcW w:w="5310" w:type="dxa"/>
          </w:tcPr>
          <w:p w:rsidR="00D1160D" w:rsidRDefault="00D1160D" w:rsidP="00F7325E">
            <w:pPr>
              <w:rPr>
                <w:sz w:val="24"/>
              </w:rPr>
            </w:pPr>
            <w:r>
              <w:rPr>
                <w:sz w:val="24"/>
              </w:rPr>
              <w:t>Regulations and standards.  Student should bring the regulations, professional standards and policies that govern ethical conduct of research and practice in their chosen field, subject and area and that govern their institution and practice setting (if relevant)</w:t>
            </w:r>
          </w:p>
        </w:tc>
        <w:tc>
          <w:tcPr>
            <w:tcW w:w="1440" w:type="dxa"/>
          </w:tcPr>
          <w:p w:rsidR="00D1160D" w:rsidRDefault="00D1160D" w:rsidP="00C369A4">
            <w:pPr>
              <w:jc w:val="center"/>
              <w:rPr>
                <w:sz w:val="24"/>
              </w:rPr>
            </w:pPr>
            <w:r>
              <w:rPr>
                <w:sz w:val="24"/>
              </w:rPr>
              <w:t>By March 1</w:t>
            </w:r>
          </w:p>
        </w:tc>
        <w:tc>
          <w:tcPr>
            <w:tcW w:w="1548" w:type="dxa"/>
          </w:tcPr>
          <w:p w:rsidR="00D1160D" w:rsidRDefault="00D1160D" w:rsidP="00D14170">
            <w:pPr>
              <w:jc w:val="center"/>
              <w:rPr>
                <w:sz w:val="24"/>
              </w:rPr>
            </w:pPr>
            <w:r>
              <w:rPr>
                <w:sz w:val="24"/>
              </w:rPr>
              <w:t>Pass= Gathered information and brought to class to share</w:t>
            </w:r>
          </w:p>
        </w:tc>
      </w:tr>
      <w:tr w:rsidR="00C848D1" w:rsidRPr="00D14170" w:rsidTr="00C848D1">
        <w:tc>
          <w:tcPr>
            <w:tcW w:w="1278" w:type="dxa"/>
          </w:tcPr>
          <w:p w:rsidR="00C848D1" w:rsidRPr="00D14170" w:rsidRDefault="00D1160D" w:rsidP="00D14170">
            <w:pPr>
              <w:jc w:val="center"/>
              <w:rPr>
                <w:sz w:val="24"/>
              </w:rPr>
            </w:pPr>
            <w:r>
              <w:rPr>
                <w:sz w:val="24"/>
              </w:rPr>
              <w:t>3</w:t>
            </w:r>
          </w:p>
        </w:tc>
        <w:tc>
          <w:tcPr>
            <w:tcW w:w="5310" w:type="dxa"/>
          </w:tcPr>
          <w:p w:rsidR="00C848D1" w:rsidRPr="00D14170" w:rsidRDefault="00D1160D" w:rsidP="00F7325E">
            <w:pPr>
              <w:rPr>
                <w:sz w:val="24"/>
              </w:rPr>
            </w:pPr>
            <w:r>
              <w:rPr>
                <w:sz w:val="24"/>
              </w:rPr>
              <w:t xml:space="preserve">Case Presentation.  Students should choose a case from their own field and subject of interest for presentation to the class.  The case presentation should cover:  a timeline of alleged events; all facts known; stakeholders; norms, values, regulations and ethical standards </w:t>
            </w:r>
            <w:r w:rsidR="00E35E39">
              <w:rPr>
                <w:sz w:val="24"/>
              </w:rPr>
              <w:t>germane</w:t>
            </w:r>
            <w:r>
              <w:rPr>
                <w:sz w:val="24"/>
              </w:rPr>
              <w:t xml:space="preserve">; options for a solution to the </w:t>
            </w:r>
            <w:r w:rsidR="007618A4">
              <w:rPr>
                <w:sz w:val="24"/>
              </w:rPr>
              <w:t>problem which was</w:t>
            </w:r>
            <w:r>
              <w:rPr>
                <w:sz w:val="24"/>
              </w:rPr>
              <w:t xml:space="preserve"> considered and which might have been considered.</w:t>
            </w:r>
          </w:p>
        </w:tc>
        <w:tc>
          <w:tcPr>
            <w:tcW w:w="1440" w:type="dxa"/>
          </w:tcPr>
          <w:p w:rsidR="00C848D1" w:rsidRPr="00D14170" w:rsidRDefault="00D1160D" w:rsidP="00D14170">
            <w:pPr>
              <w:jc w:val="center"/>
              <w:rPr>
                <w:sz w:val="24"/>
              </w:rPr>
            </w:pPr>
            <w:r>
              <w:rPr>
                <w:sz w:val="24"/>
              </w:rPr>
              <w:t>Varies</w:t>
            </w:r>
          </w:p>
        </w:tc>
        <w:tc>
          <w:tcPr>
            <w:tcW w:w="1548" w:type="dxa"/>
          </w:tcPr>
          <w:p w:rsidR="00C848D1" w:rsidRPr="00D14170" w:rsidRDefault="00D1160D" w:rsidP="00D14170">
            <w:pPr>
              <w:jc w:val="center"/>
              <w:rPr>
                <w:sz w:val="24"/>
              </w:rPr>
            </w:pPr>
            <w:r>
              <w:rPr>
                <w:sz w:val="24"/>
              </w:rPr>
              <w:t>Pass = Presentation covered all required elements</w:t>
            </w:r>
          </w:p>
        </w:tc>
      </w:tr>
      <w:tr w:rsidR="00C848D1" w:rsidRPr="00D14170" w:rsidTr="00C848D1">
        <w:tc>
          <w:tcPr>
            <w:tcW w:w="1278" w:type="dxa"/>
          </w:tcPr>
          <w:p w:rsidR="00C848D1" w:rsidRPr="00D14170" w:rsidRDefault="00D1160D" w:rsidP="00D1160D">
            <w:pPr>
              <w:jc w:val="center"/>
              <w:rPr>
                <w:sz w:val="24"/>
              </w:rPr>
            </w:pPr>
            <w:r>
              <w:rPr>
                <w:sz w:val="24"/>
              </w:rPr>
              <w:t>4</w:t>
            </w:r>
          </w:p>
        </w:tc>
        <w:tc>
          <w:tcPr>
            <w:tcW w:w="5310" w:type="dxa"/>
          </w:tcPr>
          <w:p w:rsidR="00C848D1" w:rsidRPr="00D14170" w:rsidRDefault="00A922BA" w:rsidP="00D1160D">
            <w:pPr>
              <w:rPr>
                <w:sz w:val="24"/>
              </w:rPr>
            </w:pPr>
            <w:r>
              <w:rPr>
                <w:sz w:val="24"/>
              </w:rPr>
              <w:t xml:space="preserve">During classroom time, </w:t>
            </w:r>
            <w:r w:rsidR="00D1160D">
              <w:rPr>
                <w:sz w:val="24"/>
              </w:rPr>
              <w:t>students will work in small groups to analyze cases presented by the instructor.  The analyses will be verbally presented in class.</w:t>
            </w:r>
            <w:r>
              <w:rPr>
                <w:sz w:val="24"/>
              </w:rPr>
              <w:t xml:space="preserve"> </w:t>
            </w:r>
          </w:p>
        </w:tc>
        <w:tc>
          <w:tcPr>
            <w:tcW w:w="1440" w:type="dxa"/>
          </w:tcPr>
          <w:p w:rsidR="00C848D1" w:rsidRPr="00D14170" w:rsidRDefault="00D1160D" w:rsidP="00C848D1">
            <w:pPr>
              <w:jc w:val="center"/>
              <w:rPr>
                <w:sz w:val="24"/>
              </w:rPr>
            </w:pPr>
            <w:r>
              <w:rPr>
                <w:sz w:val="24"/>
              </w:rPr>
              <w:t>Biweekly</w:t>
            </w:r>
          </w:p>
        </w:tc>
        <w:tc>
          <w:tcPr>
            <w:tcW w:w="1548" w:type="dxa"/>
          </w:tcPr>
          <w:p w:rsidR="00C848D1" w:rsidRPr="00D14170" w:rsidRDefault="00D1160D" w:rsidP="00C848D1">
            <w:pPr>
              <w:jc w:val="center"/>
              <w:rPr>
                <w:sz w:val="24"/>
              </w:rPr>
            </w:pPr>
            <w:r>
              <w:rPr>
                <w:sz w:val="24"/>
              </w:rPr>
              <w:t xml:space="preserve">Pass = Students attend 90% of classes and exhibit developed ethical thinking in </w:t>
            </w:r>
            <w:r>
              <w:rPr>
                <w:sz w:val="24"/>
              </w:rPr>
              <w:lastRenderedPageBreak/>
              <w:t>discussions</w:t>
            </w:r>
          </w:p>
        </w:tc>
      </w:tr>
    </w:tbl>
    <w:p w:rsidR="00D1160D" w:rsidRDefault="00D1160D" w:rsidP="00F13A0E">
      <w:pPr>
        <w:rPr>
          <w:sz w:val="24"/>
        </w:rPr>
      </w:pPr>
    </w:p>
    <w:p w:rsidR="00F13A0E" w:rsidRPr="007E7C5B" w:rsidRDefault="007E7C5B" w:rsidP="00F13A0E">
      <w:pPr>
        <w:rPr>
          <w:sz w:val="24"/>
        </w:rPr>
      </w:pPr>
      <w:r>
        <w:rPr>
          <w:sz w:val="24"/>
        </w:rPr>
        <w:t xml:space="preserve">For greater detail on the meaning of letter grades and university policies related to them, see the Registrar’s Grade Policy regulations at </w:t>
      </w:r>
      <w:hyperlink r:id="rId9" w:history="1">
        <w:r w:rsidRPr="00BC141B">
          <w:rPr>
            <w:rStyle w:val="Hyperlink"/>
            <w:sz w:val="24"/>
          </w:rPr>
          <w:t>http://www.registrar.ufl.edu/catalog/policies/regulationgrades.html</w:t>
        </w:r>
      </w:hyperlink>
      <w:r>
        <w:rPr>
          <w:sz w:val="24"/>
        </w:rPr>
        <w:t xml:space="preserve"> </w:t>
      </w:r>
    </w:p>
    <w:p w:rsidR="00D30CBE" w:rsidRDefault="00D30CBE">
      <w:pPr>
        <w:pStyle w:val="Heading4"/>
        <w:widowControl/>
        <w:rPr>
          <w:bCs/>
          <w:snapToGrid/>
        </w:rPr>
      </w:pPr>
      <w:r>
        <w:rPr>
          <w:bCs/>
          <w:snapToGrid/>
        </w:rPr>
        <w:t>Topical Outline</w:t>
      </w:r>
    </w:p>
    <w:p w:rsidR="006163E3" w:rsidRDefault="00D30CBE">
      <w:pPr>
        <w:pStyle w:val="Heading2"/>
        <w:rPr>
          <w:b w:val="0"/>
          <w:bCs/>
        </w:rPr>
      </w:pPr>
      <w:r>
        <w:rPr>
          <w:b w:val="0"/>
          <w:bCs/>
        </w:rPr>
        <w:tab/>
      </w:r>
      <w:r w:rsidR="006163E3">
        <w:rPr>
          <w:b w:val="0"/>
          <w:bCs/>
        </w:rPr>
        <w:t xml:space="preserve"> </w:t>
      </w:r>
    </w:p>
    <w:tbl>
      <w:tblPr>
        <w:tblStyle w:val="TableGrid"/>
        <w:tblW w:w="4662" w:type="pct"/>
        <w:tblLayout w:type="fixed"/>
        <w:tblLook w:val="04A0" w:firstRow="1" w:lastRow="0" w:firstColumn="1" w:lastColumn="0" w:noHBand="0" w:noVBand="1"/>
      </w:tblPr>
      <w:tblGrid>
        <w:gridCol w:w="738"/>
        <w:gridCol w:w="1589"/>
        <w:gridCol w:w="6602"/>
      </w:tblGrid>
      <w:tr w:rsidR="00D1160D" w:rsidTr="00D1160D">
        <w:tc>
          <w:tcPr>
            <w:tcW w:w="413" w:type="pct"/>
          </w:tcPr>
          <w:p w:rsidR="00D1160D" w:rsidRPr="00A31ACD" w:rsidRDefault="00D1160D" w:rsidP="00477105">
            <w:pPr>
              <w:rPr>
                <w:sz w:val="22"/>
                <w:szCs w:val="22"/>
              </w:rPr>
            </w:pPr>
            <w:r w:rsidRPr="00A31ACD">
              <w:rPr>
                <w:sz w:val="22"/>
                <w:szCs w:val="22"/>
              </w:rPr>
              <w:t>Week Date</w:t>
            </w:r>
          </w:p>
        </w:tc>
        <w:tc>
          <w:tcPr>
            <w:tcW w:w="890" w:type="pct"/>
          </w:tcPr>
          <w:p w:rsidR="00D1160D" w:rsidRPr="00A31ACD" w:rsidRDefault="00D1160D" w:rsidP="00477105">
            <w:pPr>
              <w:rPr>
                <w:sz w:val="22"/>
                <w:szCs w:val="22"/>
              </w:rPr>
            </w:pPr>
            <w:r w:rsidRPr="00A31ACD">
              <w:rPr>
                <w:sz w:val="22"/>
                <w:szCs w:val="22"/>
              </w:rPr>
              <w:t>Topic(s)</w:t>
            </w:r>
          </w:p>
        </w:tc>
        <w:tc>
          <w:tcPr>
            <w:tcW w:w="3697" w:type="pct"/>
          </w:tcPr>
          <w:p w:rsidR="00D1160D" w:rsidRPr="00A31ACD" w:rsidRDefault="00D1160D" w:rsidP="00477105">
            <w:pPr>
              <w:rPr>
                <w:sz w:val="22"/>
                <w:szCs w:val="22"/>
              </w:rPr>
            </w:pPr>
            <w:r>
              <w:rPr>
                <w:sz w:val="22"/>
                <w:szCs w:val="22"/>
              </w:rPr>
              <w:t>Reading or Instructional Material</w:t>
            </w:r>
          </w:p>
        </w:tc>
      </w:tr>
      <w:tr w:rsidR="00D1160D" w:rsidTr="00D1160D">
        <w:tc>
          <w:tcPr>
            <w:tcW w:w="413" w:type="pct"/>
          </w:tcPr>
          <w:p w:rsidR="00D1160D" w:rsidRPr="00530302" w:rsidRDefault="00D1160D" w:rsidP="00530302">
            <w:pPr>
              <w:rPr>
                <w:sz w:val="22"/>
                <w:szCs w:val="22"/>
              </w:rPr>
            </w:pPr>
            <w:r>
              <w:rPr>
                <w:sz w:val="22"/>
                <w:szCs w:val="22"/>
              </w:rPr>
              <w:t>1</w:t>
            </w:r>
          </w:p>
        </w:tc>
        <w:tc>
          <w:tcPr>
            <w:tcW w:w="890" w:type="pct"/>
          </w:tcPr>
          <w:p w:rsidR="00D1160D" w:rsidRPr="00530302" w:rsidRDefault="00D1160D" w:rsidP="00B969FA">
            <w:pPr>
              <w:rPr>
                <w:sz w:val="22"/>
                <w:szCs w:val="22"/>
              </w:rPr>
            </w:pPr>
            <w:r w:rsidRPr="00D1160D">
              <w:rPr>
                <w:sz w:val="22"/>
                <w:szCs w:val="22"/>
              </w:rPr>
              <w:t xml:space="preserve"> </w:t>
            </w:r>
            <w:r w:rsidR="00B969FA">
              <w:rPr>
                <w:sz w:val="22"/>
                <w:szCs w:val="22"/>
              </w:rPr>
              <w:t>Ethical frameworks</w:t>
            </w:r>
            <w:r w:rsidRPr="00D1160D">
              <w:rPr>
                <w:sz w:val="22"/>
                <w:szCs w:val="22"/>
              </w:rPr>
              <w:t xml:space="preserve"> </w:t>
            </w:r>
          </w:p>
        </w:tc>
        <w:tc>
          <w:tcPr>
            <w:tcW w:w="3697" w:type="pct"/>
          </w:tcPr>
          <w:p w:rsidR="00355FCE" w:rsidRDefault="006825FC" w:rsidP="00477105">
            <w:pPr>
              <w:rPr>
                <w:sz w:val="22"/>
                <w:szCs w:val="22"/>
              </w:rPr>
            </w:pPr>
            <w:r>
              <w:rPr>
                <w:sz w:val="22"/>
                <w:szCs w:val="22"/>
              </w:rPr>
              <w:t xml:space="preserve">Fuchs, B. &amp; Macrina, F.  (2005). Chapter 2: </w:t>
            </w:r>
            <w:r w:rsidR="0006496C">
              <w:rPr>
                <w:sz w:val="22"/>
                <w:szCs w:val="22"/>
              </w:rPr>
              <w:t>Ethics and the Scientist</w:t>
            </w:r>
            <w:r>
              <w:rPr>
                <w:sz w:val="22"/>
                <w:szCs w:val="22"/>
              </w:rPr>
              <w:t>.</w:t>
            </w:r>
            <w:r w:rsidR="0006496C">
              <w:rPr>
                <w:sz w:val="22"/>
                <w:szCs w:val="22"/>
              </w:rPr>
              <w:t xml:space="preserve"> In Scientific Integrity, 3</w:t>
            </w:r>
            <w:r w:rsidR="0006496C" w:rsidRPr="0006496C">
              <w:rPr>
                <w:sz w:val="22"/>
                <w:szCs w:val="22"/>
                <w:vertAlign w:val="superscript"/>
              </w:rPr>
              <w:t>rd</w:t>
            </w:r>
            <w:r w:rsidR="0006496C">
              <w:rPr>
                <w:sz w:val="22"/>
                <w:szCs w:val="22"/>
              </w:rPr>
              <w:t xml:space="preserve"> Ed. Francis Macrina (ed.)</w:t>
            </w:r>
            <w:r>
              <w:rPr>
                <w:sz w:val="22"/>
                <w:szCs w:val="22"/>
              </w:rPr>
              <w:t xml:space="preserve"> Washington, DC: ASM Press</w:t>
            </w:r>
            <w:r w:rsidR="0006496C">
              <w:rPr>
                <w:sz w:val="22"/>
                <w:szCs w:val="22"/>
              </w:rPr>
              <w:t>.</w:t>
            </w:r>
          </w:p>
          <w:p w:rsidR="00355FCE" w:rsidRPr="00530302" w:rsidRDefault="00355FCE" w:rsidP="00477105">
            <w:pPr>
              <w:rPr>
                <w:sz w:val="22"/>
                <w:szCs w:val="22"/>
              </w:rPr>
            </w:pPr>
          </w:p>
        </w:tc>
      </w:tr>
      <w:tr w:rsidR="00D1160D" w:rsidTr="00D1160D">
        <w:tc>
          <w:tcPr>
            <w:tcW w:w="413" w:type="pct"/>
          </w:tcPr>
          <w:p w:rsidR="00D1160D" w:rsidRPr="00530302" w:rsidRDefault="00D1160D" w:rsidP="00C16E9E">
            <w:pPr>
              <w:rPr>
                <w:sz w:val="22"/>
                <w:szCs w:val="22"/>
              </w:rPr>
            </w:pPr>
            <w:r>
              <w:rPr>
                <w:sz w:val="22"/>
                <w:szCs w:val="22"/>
              </w:rPr>
              <w:t>2</w:t>
            </w:r>
          </w:p>
        </w:tc>
        <w:tc>
          <w:tcPr>
            <w:tcW w:w="890" w:type="pct"/>
          </w:tcPr>
          <w:p w:rsidR="00D1160D" w:rsidRPr="00530302" w:rsidRDefault="00B969FA" w:rsidP="008F5F5B">
            <w:pPr>
              <w:rPr>
                <w:sz w:val="22"/>
                <w:szCs w:val="22"/>
              </w:rPr>
            </w:pPr>
            <w:r>
              <w:rPr>
                <w:sz w:val="22"/>
                <w:szCs w:val="22"/>
              </w:rPr>
              <w:t>Regulations and professional standards of practice and research</w:t>
            </w:r>
          </w:p>
        </w:tc>
        <w:tc>
          <w:tcPr>
            <w:tcW w:w="3697" w:type="pct"/>
          </w:tcPr>
          <w:p w:rsidR="009A1A30" w:rsidRDefault="00BB27B9" w:rsidP="00477105">
            <w:pPr>
              <w:rPr>
                <w:sz w:val="22"/>
                <w:szCs w:val="22"/>
              </w:rPr>
            </w:pPr>
            <w:hyperlink r:id="rId10" w:history="1">
              <w:r w:rsidR="009A1A30" w:rsidRPr="00445E68">
                <w:rPr>
                  <w:rStyle w:val="Hyperlink"/>
                  <w:sz w:val="22"/>
                  <w:szCs w:val="22"/>
                </w:rPr>
                <w:t>http://www.acepidemiology.org/policystmts/EthicsGuide.pdf</w:t>
              </w:r>
            </w:hyperlink>
          </w:p>
          <w:p w:rsidR="00740A8F" w:rsidRDefault="00740A8F" w:rsidP="00477105">
            <w:pPr>
              <w:rPr>
                <w:sz w:val="22"/>
                <w:szCs w:val="22"/>
              </w:rPr>
            </w:pPr>
          </w:p>
          <w:p w:rsidR="009A1A30" w:rsidRDefault="00740A8F" w:rsidP="00477105">
            <w:pPr>
              <w:rPr>
                <w:sz w:val="22"/>
                <w:szCs w:val="22"/>
              </w:rPr>
            </w:pPr>
            <w:r>
              <w:rPr>
                <w:sz w:val="22"/>
                <w:szCs w:val="22"/>
              </w:rPr>
              <w:t xml:space="preserve">Woodin K.E. &amp; Gambrill, S, eds. (2004). </w:t>
            </w:r>
            <w:r w:rsidR="008B0ECA">
              <w:rPr>
                <w:sz w:val="22"/>
                <w:szCs w:val="22"/>
              </w:rPr>
              <w:t>Regulations and Good Clinical Practices (GCPs).  Chapter 4 in The CRCs Guide to</w:t>
            </w:r>
            <w:r>
              <w:rPr>
                <w:sz w:val="22"/>
                <w:szCs w:val="22"/>
              </w:rPr>
              <w:t xml:space="preserve"> Coordinating Clinical Research. New York: Thomson Centerwatch</w:t>
            </w:r>
            <w:r w:rsidR="0006496C">
              <w:rPr>
                <w:sz w:val="22"/>
                <w:szCs w:val="22"/>
              </w:rPr>
              <w:t>.</w:t>
            </w:r>
          </w:p>
          <w:p w:rsidR="00355FCE" w:rsidRDefault="00355FCE" w:rsidP="00477105">
            <w:pPr>
              <w:rPr>
                <w:sz w:val="22"/>
                <w:szCs w:val="22"/>
              </w:rPr>
            </w:pPr>
          </w:p>
          <w:p w:rsidR="00355FCE" w:rsidRDefault="006825FC" w:rsidP="00477105">
            <w:pPr>
              <w:rPr>
                <w:sz w:val="22"/>
                <w:szCs w:val="22"/>
              </w:rPr>
            </w:pPr>
            <w:r>
              <w:rPr>
                <w:sz w:val="22"/>
                <w:szCs w:val="22"/>
              </w:rPr>
              <w:t xml:space="preserve">Shamoo, A. &amp; Resnik, D. (2003). Chapter 12: The Scientist in Society, In Authors: </w:t>
            </w:r>
            <w:r w:rsidR="0006496C">
              <w:rPr>
                <w:sz w:val="22"/>
                <w:szCs w:val="22"/>
              </w:rPr>
              <w:t>Responsible Conduct of Research, New York: Oxford University Press</w:t>
            </w:r>
            <w:r w:rsidR="00355FCE">
              <w:rPr>
                <w:sz w:val="22"/>
                <w:szCs w:val="22"/>
              </w:rPr>
              <w:t>.</w:t>
            </w:r>
          </w:p>
          <w:p w:rsidR="00355FCE" w:rsidRDefault="00355FCE" w:rsidP="00477105">
            <w:pPr>
              <w:rPr>
                <w:sz w:val="22"/>
                <w:szCs w:val="22"/>
              </w:rPr>
            </w:pPr>
          </w:p>
          <w:p w:rsidR="0006496C" w:rsidRDefault="00355FCE" w:rsidP="00477105">
            <w:pPr>
              <w:rPr>
                <w:sz w:val="22"/>
                <w:szCs w:val="22"/>
              </w:rPr>
            </w:pPr>
            <w:r>
              <w:rPr>
                <w:sz w:val="22"/>
                <w:szCs w:val="22"/>
              </w:rPr>
              <w:t>Text Chapters 1 and 2.</w:t>
            </w:r>
          </w:p>
          <w:p w:rsidR="00355FCE" w:rsidRDefault="00355FCE" w:rsidP="00477105">
            <w:pPr>
              <w:rPr>
                <w:sz w:val="22"/>
                <w:szCs w:val="22"/>
              </w:rPr>
            </w:pPr>
          </w:p>
          <w:p w:rsidR="00355FCE" w:rsidRPr="00530302" w:rsidRDefault="00355FCE" w:rsidP="00477105">
            <w:pPr>
              <w:rPr>
                <w:sz w:val="22"/>
                <w:szCs w:val="22"/>
              </w:rPr>
            </w:pPr>
            <w:r w:rsidRPr="00355FCE">
              <w:rPr>
                <w:sz w:val="22"/>
                <w:szCs w:val="22"/>
              </w:rPr>
              <w:t>Striley, C.W. (2011). A review of current ethical concerns and challenges in substance use disorder research. Current Opinion in Psychiatry, 24(3), 186-190.</w:t>
            </w:r>
          </w:p>
        </w:tc>
      </w:tr>
      <w:tr w:rsidR="00D1160D" w:rsidTr="00D1160D">
        <w:tc>
          <w:tcPr>
            <w:tcW w:w="413" w:type="pct"/>
          </w:tcPr>
          <w:p w:rsidR="00D1160D" w:rsidRPr="00530302" w:rsidRDefault="00D1160D" w:rsidP="00477105">
            <w:pPr>
              <w:rPr>
                <w:sz w:val="22"/>
                <w:szCs w:val="22"/>
              </w:rPr>
            </w:pPr>
            <w:r>
              <w:rPr>
                <w:sz w:val="22"/>
                <w:szCs w:val="22"/>
              </w:rPr>
              <w:t>3</w:t>
            </w:r>
          </w:p>
        </w:tc>
        <w:tc>
          <w:tcPr>
            <w:tcW w:w="890" w:type="pct"/>
          </w:tcPr>
          <w:p w:rsidR="00D1160D" w:rsidRPr="00530302" w:rsidRDefault="00D1160D" w:rsidP="00477105">
            <w:pPr>
              <w:rPr>
                <w:sz w:val="22"/>
                <w:szCs w:val="22"/>
              </w:rPr>
            </w:pPr>
            <w:r w:rsidRPr="00D1160D">
              <w:rPr>
                <w:sz w:val="22"/>
                <w:szCs w:val="22"/>
              </w:rPr>
              <w:t>Research misconduct</w:t>
            </w:r>
            <w:r w:rsidR="00B969FA">
              <w:rPr>
                <w:sz w:val="22"/>
                <w:szCs w:val="22"/>
              </w:rPr>
              <w:t xml:space="preserve"> vs. research with integrity</w:t>
            </w:r>
          </w:p>
        </w:tc>
        <w:tc>
          <w:tcPr>
            <w:tcW w:w="3697" w:type="pct"/>
          </w:tcPr>
          <w:p w:rsidR="00D1160D" w:rsidRDefault="006825FC" w:rsidP="00E264F0">
            <w:pPr>
              <w:rPr>
                <w:sz w:val="22"/>
                <w:szCs w:val="22"/>
              </w:rPr>
            </w:pPr>
            <w:r>
              <w:rPr>
                <w:sz w:val="22"/>
                <w:szCs w:val="22"/>
              </w:rPr>
              <w:t>The Committee on Assessing Integrity in Research Environments. (2002).</w:t>
            </w:r>
            <w:r w:rsidR="008B0ECA">
              <w:rPr>
                <w:sz w:val="22"/>
                <w:szCs w:val="22"/>
              </w:rPr>
              <w:t xml:space="preserve"> Chapter 2</w:t>
            </w:r>
            <w:r>
              <w:rPr>
                <w:sz w:val="22"/>
                <w:szCs w:val="22"/>
              </w:rPr>
              <w:t>:</w:t>
            </w:r>
            <w:r w:rsidR="008B0ECA">
              <w:rPr>
                <w:sz w:val="22"/>
                <w:szCs w:val="22"/>
              </w:rPr>
              <w:t xml:space="preserve"> </w:t>
            </w:r>
            <w:r>
              <w:rPr>
                <w:sz w:val="22"/>
                <w:szCs w:val="22"/>
              </w:rPr>
              <w:t xml:space="preserve">Integrity in Research </w:t>
            </w:r>
            <w:r w:rsidR="008B0ECA">
              <w:rPr>
                <w:sz w:val="22"/>
                <w:szCs w:val="22"/>
              </w:rPr>
              <w:t xml:space="preserve">in Integrity in Scientific Research by </w:t>
            </w:r>
            <w:r w:rsidR="00355FCE">
              <w:rPr>
                <w:sz w:val="22"/>
                <w:szCs w:val="22"/>
              </w:rPr>
              <w:t>Washington</w:t>
            </w:r>
            <w:r w:rsidR="008B0ECA">
              <w:rPr>
                <w:sz w:val="22"/>
                <w:szCs w:val="22"/>
              </w:rPr>
              <w:t>, DC: Natio</w:t>
            </w:r>
            <w:r>
              <w:rPr>
                <w:sz w:val="22"/>
                <w:szCs w:val="22"/>
              </w:rPr>
              <w:t>nal Academies Press.</w:t>
            </w:r>
          </w:p>
          <w:p w:rsidR="0006496C" w:rsidRPr="00530302" w:rsidRDefault="0006496C" w:rsidP="00E264F0">
            <w:pPr>
              <w:rPr>
                <w:sz w:val="22"/>
                <w:szCs w:val="22"/>
              </w:rPr>
            </w:pPr>
          </w:p>
        </w:tc>
      </w:tr>
      <w:tr w:rsidR="00D1160D" w:rsidTr="00355FCE">
        <w:trPr>
          <w:trHeight w:val="602"/>
        </w:trPr>
        <w:tc>
          <w:tcPr>
            <w:tcW w:w="413" w:type="pct"/>
          </w:tcPr>
          <w:p w:rsidR="00D1160D" w:rsidRPr="00530302" w:rsidRDefault="00D1160D" w:rsidP="00477105">
            <w:pPr>
              <w:rPr>
                <w:sz w:val="22"/>
                <w:szCs w:val="22"/>
              </w:rPr>
            </w:pPr>
            <w:r>
              <w:rPr>
                <w:sz w:val="22"/>
                <w:szCs w:val="22"/>
              </w:rPr>
              <w:t>4</w:t>
            </w:r>
          </w:p>
        </w:tc>
        <w:tc>
          <w:tcPr>
            <w:tcW w:w="890" w:type="pct"/>
          </w:tcPr>
          <w:p w:rsidR="00D1160D" w:rsidRPr="00530302" w:rsidRDefault="00D1160D" w:rsidP="00B969FA">
            <w:pPr>
              <w:rPr>
                <w:sz w:val="22"/>
                <w:szCs w:val="22"/>
              </w:rPr>
            </w:pPr>
            <w:r w:rsidRPr="00D1160D">
              <w:rPr>
                <w:sz w:val="22"/>
                <w:szCs w:val="22"/>
              </w:rPr>
              <w:t xml:space="preserve">Human </w:t>
            </w:r>
            <w:r w:rsidR="009A1A30">
              <w:rPr>
                <w:sz w:val="22"/>
                <w:szCs w:val="22"/>
              </w:rPr>
              <w:t>Research</w:t>
            </w:r>
          </w:p>
        </w:tc>
        <w:tc>
          <w:tcPr>
            <w:tcW w:w="3697" w:type="pct"/>
          </w:tcPr>
          <w:p w:rsidR="00D1160D" w:rsidRDefault="0006496C" w:rsidP="005A6D4A">
            <w:pPr>
              <w:rPr>
                <w:sz w:val="22"/>
                <w:szCs w:val="22"/>
              </w:rPr>
            </w:pPr>
            <w:r>
              <w:rPr>
                <w:sz w:val="22"/>
                <w:szCs w:val="22"/>
              </w:rPr>
              <w:t>Excerpts from: Levine, R.J. (1986).  Ethics and Regulations of Clinical Research.  New Haven: Yale University Press.</w:t>
            </w:r>
          </w:p>
          <w:p w:rsidR="00355FCE" w:rsidRDefault="00355FCE" w:rsidP="005A6D4A">
            <w:pPr>
              <w:rPr>
                <w:sz w:val="22"/>
                <w:szCs w:val="22"/>
              </w:rPr>
            </w:pPr>
          </w:p>
          <w:p w:rsidR="00355FCE" w:rsidRDefault="00355FCE" w:rsidP="005A6D4A">
            <w:pPr>
              <w:rPr>
                <w:sz w:val="22"/>
                <w:szCs w:val="22"/>
              </w:rPr>
            </w:pPr>
            <w:r>
              <w:rPr>
                <w:sz w:val="22"/>
                <w:szCs w:val="22"/>
              </w:rPr>
              <w:t>Text Chapter 3.</w:t>
            </w:r>
          </w:p>
          <w:p w:rsidR="00355FCE" w:rsidRDefault="00355FCE" w:rsidP="005A6D4A">
            <w:pPr>
              <w:rPr>
                <w:sz w:val="22"/>
                <w:szCs w:val="22"/>
              </w:rPr>
            </w:pPr>
          </w:p>
          <w:p w:rsidR="00355FCE" w:rsidRPr="00530302" w:rsidRDefault="00355FCE" w:rsidP="00355FCE">
            <w:pPr>
              <w:rPr>
                <w:sz w:val="22"/>
                <w:szCs w:val="22"/>
              </w:rPr>
            </w:pPr>
            <w:r w:rsidRPr="00355FCE">
              <w:rPr>
                <w:sz w:val="22"/>
                <w:szCs w:val="22"/>
              </w:rPr>
              <w:t>Striley C.L.W., Callahan C., Cottler L.B. (2008) Enrolling, retaining, benefiting participants in intervention research.  Journal of Empirical Human Research Ethics, 3(3):19-25.</w:t>
            </w:r>
          </w:p>
        </w:tc>
      </w:tr>
      <w:tr w:rsidR="00D1160D" w:rsidTr="00D1160D">
        <w:tc>
          <w:tcPr>
            <w:tcW w:w="413" w:type="pct"/>
          </w:tcPr>
          <w:p w:rsidR="00D1160D" w:rsidRPr="00530302" w:rsidRDefault="00D1160D" w:rsidP="00477105">
            <w:pPr>
              <w:rPr>
                <w:sz w:val="22"/>
                <w:szCs w:val="22"/>
              </w:rPr>
            </w:pPr>
            <w:r>
              <w:rPr>
                <w:sz w:val="22"/>
                <w:szCs w:val="22"/>
              </w:rPr>
              <w:t>5</w:t>
            </w:r>
          </w:p>
        </w:tc>
        <w:tc>
          <w:tcPr>
            <w:tcW w:w="890" w:type="pct"/>
          </w:tcPr>
          <w:p w:rsidR="00D1160D" w:rsidRPr="00530302" w:rsidRDefault="00D1160D" w:rsidP="00477105">
            <w:pPr>
              <w:rPr>
                <w:sz w:val="22"/>
                <w:szCs w:val="22"/>
              </w:rPr>
            </w:pPr>
            <w:r w:rsidRPr="00D1160D">
              <w:rPr>
                <w:sz w:val="22"/>
                <w:szCs w:val="22"/>
              </w:rPr>
              <w:t>Data management</w:t>
            </w:r>
          </w:p>
        </w:tc>
        <w:tc>
          <w:tcPr>
            <w:tcW w:w="3697" w:type="pct"/>
          </w:tcPr>
          <w:p w:rsidR="00D1160D" w:rsidRPr="00530302" w:rsidRDefault="001B6CE6" w:rsidP="00355FCE">
            <w:pPr>
              <w:rPr>
                <w:sz w:val="22"/>
                <w:szCs w:val="22"/>
              </w:rPr>
            </w:pPr>
            <w:r>
              <w:rPr>
                <w:sz w:val="22"/>
                <w:szCs w:val="22"/>
              </w:rPr>
              <w:t>Text</w:t>
            </w:r>
            <w:r w:rsidR="00355FCE">
              <w:rPr>
                <w:sz w:val="22"/>
                <w:szCs w:val="22"/>
              </w:rPr>
              <w:t xml:space="preserve"> Chapter 6</w:t>
            </w:r>
          </w:p>
        </w:tc>
      </w:tr>
      <w:tr w:rsidR="00D1160D" w:rsidTr="00D1160D">
        <w:tc>
          <w:tcPr>
            <w:tcW w:w="413" w:type="pct"/>
          </w:tcPr>
          <w:p w:rsidR="00D1160D" w:rsidRPr="00530302" w:rsidRDefault="00D1160D" w:rsidP="00477105">
            <w:pPr>
              <w:rPr>
                <w:sz w:val="22"/>
                <w:szCs w:val="22"/>
              </w:rPr>
            </w:pPr>
            <w:r>
              <w:rPr>
                <w:sz w:val="22"/>
                <w:szCs w:val="22"/>
              </w:rPr>
              <w:t>6</w:t>
            </w:r>
          </w:p>
        </w:tc>
        <w:tc>
          <w:tcPr>
            <w:tcW w:w="890" w:type="pct"/>
          </w:tcPr>
          <w:p w:rsidR="00D1160D" w:rsidRPr="00530302" w:rsidRDefault="00D1160D" w:rsidP="00477105">
            <w:pPr>
              <w:rPr>
                <w:sz w:val="22"/>
                <w:szCs w:val="22"/>
              </w:rPr>
            </w:pPr>
            <w:r w:rsidRPr="00D1160D">
              <w:rPr>
                <w:sz w:val="22"/>
                <w:szCs w:val="22"/>
              </w:rPr>
              <w:t>Conflict of interest</w:t>
            </w:r>
          </w:p>
        </w:tc>
        <w:tc>
          <w:tcPr>
            <w:tcW w:w="3697" w:type="pct"/>
          </w:tcPr>
          <w:p w:rsidR="00D1160D" w:rsidRPr="00530302" w:rsidRDefault="001B6CE6" w:rsidP="00477105">
            <w:pPr>
              <w:rPr>
                <w:sz w:val="22"/>
                <w:szCs w:val="22"/>
              </w:rPr>
            </w:pPr>
            <w:r>
              <w:rPr>
                <w:sz w:val="22"/>
                <w:szCs w:val="22"/>
              </w:rPr>
              <w:t>Text</w:t>
            </w:r>
            <w:r w:rsidR="00355FCE">
              <w:rPr>
                <w:sz w:val="22"/>
                <w:szCs w:val="22"/>
              </w:rPr>
              <w:t xml:space="preserve"> Chapter 5.</w:t>
            </w:r>
          </w:p>
        </w:tc>
      </w:tr>
      <w:tr w:rsidR="00D1160D" w:rsidTr="00D1160D">
        <w:tc>
          <w:tcPr>
            <w:tcW w:w="413" w:type="pct"/>
          </w:tcPr>
          <w:p w:rsidR="00D1160D" w:rsidRPr="00530302" w:rsidRDefault="00D1160D" w:rsidP="00477105">
            <w:pPr>
              <w:rPr>
                <w:sz w:val="22"/>
                <w:szCs w:val="22"/>
              </w:rPr>
            </w:pPr>
            <w:r>
              <w:rPr>
                <w:sz w:val="22"/>
                <w:szCs w:val="22"/>
              </w:rPr>
              <w:t>7</w:t>
            </w:r>
          </w:p>
        </w:tc>
        <w:tc>
          <w:tcPr>
            <w:tcW w:w="890" w:type="pct"/>
          </w:tcPr>
          <w:p w:rsidR="00D1160D" w:rsidRPr="00530302" w:rsidRDefault="00D1160D" w:rsidP="00484B30">
            <w:pPr>
              <w:rPr>
                <w:sz w:val="22"/>
                <w:szCs w:val="22"/>
              </w:rPr>
            </w:pPr>
            <w:r w:rsidRPr="00D1160D">
              <w:rPr>
                <w:sz w:val="22"/>
                <w:szCs w:val="22"/>
              </w:rPr>
              <w:t>Collaboration</w:t>
            </w:r>
          </w:p>
        </w:tc>
        <w:tc>
          <w:tcPr>
            <w:tcW w:w="3697" w:type="pct"/>
          </w:tcPr>
          <w:p w:rsidR="00D1160D" w:rsidRPr="00530302" w:rsidRDefault="001B6CE6" w:rsidP="00484B30">
            <w:pPr>
              <w:rPr>
                <w:sz w:val="22"/>
                <w:szCs w:val="22"/>
              </w:rPr>
            </w:pPr>
            <w:r>
              <w:rPr>
                <w:sz w:val="22"/>
                <w:szCs w:val="22"/>
              </w:rPr>
              <w:t>Text</w:t>
            </w:r>
            <w:r w:rsidR="00355FCE">
              <w:rPr>
                <w:sz w:val="22"/>
                <w:szCs w:val="22"/>
              </w:rPr>
              <w:t xml:space="preserve"> Chapter 8.</w:t>
            </w:r>
          </w:p>
        </w:tc>
      </w:tr>
      <w:tr w:rsidR="00D1160D" w:rsidTr="00D1160D">
        <w:tc>
          <w:tcPr>
            <w:tcW w:w="413" w:type="pct"/>
          </w:tcPr>
          <w:p w:rsidR="00D1160D" w:rsidRPr="00530302" w:rsidRDefault="00D1160D" w:rsidP="00477105">
            <w:pPr>
              <w:rPr>
                <w:sz w:val="22"/>
                <w:szCs w:val="22"/>
              </w:rPr>
            </w:pPr>
            <w:r>
              <w:rPr>
                <w:sz w:val="22"/>
                <w:szCs w:val="22"/>
              </w:rPr>
              <w:t>8</w:t>
            </w:r>
          </w:p>
        </w:tc>
        <w:tc>
          <w:tcPr>
            <w:tcW w:w="890" w:type="pct"/>
          </w:tcPr>
          <w:p w:rsidR="00D1160D" w:rsidRPr="00530302" w:rsidRDefault="00D1160D" w:rsidP="00530302">
            <w:pPr>
              <w:rPr>
                <w:sz w:val="22"/>
                <w:szCs w:val="22"/>
              </w:rPr>
            </w:pPr>
            <w:r w:rsidRPr="00D1160D">
              <w:rPr>
                <w:sz w:val="22"/>
                <w:szCs w:val="22"/>
              </w:rPr>
              <w:t>Mentoring</w:t>
            </w:r>
            <w:r w:rsidR="00B969FA">
              <w:rPr>
                <w:sz w:val="22"/>
                <w:szCs w:val="22"/>
              </w:rPr>
              <w:t xml:space="preserve"> and Being a Mentee</w:t>
            </w:r>
          </w:p>
        </w:tc>
        <w:tc>
          <w:tcPr>
            <w:tcW w:w="3697" w:type="pct"/>
          </w:tcPr>
          <w:p w:rsidR="00D1160D" w:rsidRDefault="0006496C" w:rsidP="0006496C">
            <w:pPr>
              <w:rPr>
                <w:sz w:val="22"/>
                <w:szCs w:val="22"/>
              </w:rPr>
            </w:pPr>
            <w:r>
              <w:rPr>
                <w:sz w:val="22"/>
                <w:szCs w:val="22"/>
              </w:rPr>
              <w:t>Cohen, N.H. (1999). The Mentee’s Guide to Mentoring. Amherst, MA: HRD Press.</w:t>
            </w:r>
          </w:p>
          <w:p w:rsidR="00740A8F" w:rsidRDefault="00740A8F" w:rsidP="0006496C">
            <w:pPr>
              <w:rPr>
                <w:sz w:val="22"/>
                <w:szCs w:val="22"/>
              </w:rPr>
            </w:pPr>
          </w:p>
          <w:p w:rsidR="00740A8F" w:rsidRPr="00530302" w:rsidRDefault="006825FC" w:rsidP="006825FC">
            <w:pPr>
              <w:rPr>
                <w:sz w:val="22"/>
                <w:szCs w:val="22"/>
              </w:rPr>
            </w:pPr>
            <w:r>
              <w:rPr>
                <w:sz w:val="22"/>
                <w:szCs w:val="22"/>
              </w:rPr>
              <w:t xml:space="preserve">Cottler LB, Flynn P., et al., (2009). </w:t>
            </w:r>
            <w:r w:rsidR="00740A8F">
              <w:rPr>
                <w:sz w:val="22"/>
                <w:szCs w:val="22"/>
              </w:rPr>
              <w:t xml:space="preserve">Mentoring:  A Guide for Drug Abuse Researchers.  Tips for Mentors and Mentees. NIDA Publication 09-5770.  Order from: </w:t>
            </w:r>
            <w:hyperlink r:id="rId11" w:history="1">
              <w:r w:rsidR="00740A8F" w:rsidRPr="00282CC5">
                <w:rPr>
                  <w:rStyle w:val="Hyperlink"/>
                  <w:sz w:val="22"/>
                  <w:szCs w:val="22"/>
                </w:rPr>
                <w:t>http://drugabuse.gov/mentoringguide/</w:t>
              </w:r>
            </w:hyperlink>
          </w:p>
        </w:tc>
      </w:tr>
      <w:tr w:rsidR="00D1160D" w:rsidTr="00D1160D">
        <w:tc>
          <w:tcPr>
            <w:tcW w:w="413" w:type="pct"/>
          </w:tcPr>
          <w:p w:rsidR="00D1160D" w:rsidRPr="00530302" w:rsidRDefault="00D1160D" w:rsidP="00477105">
            <w:pPr>
              <w:rPr>
                <w:sz w:val="22"/>
                <w:szCs w:val="22"/>
              </w:rPr>
            </w:pPr>
            <w:r>
              <w:rPr>
                <w:sz w:val="22"/>
                <w:szCs w:val="22"/>
              </w:rPr>
              <w:t>9</w:t>
            </w:r>
          </w:p>
        </w:tc>
        <w:tc>
          <w:tcPr>
            <w:tcW w:w="890" w:type="pct"/>
          </w:tcPr>
          <w:p w:rsidR="00D1160D" w:rsidRPr="00530302" w:rsidRDefault="00D1160D" w:rsidP="00484B30">
            <w:pPr>
              <w:rPr>
                <w:sz w:val="22"/>
                <w:szCs w:val="22"/>
              </w:rPr>
            </w:pPr>
            <w:r w:rsidRPr="00D1160D">
              <w:rPr>
                <w:sz w:val="22"/>
                <w:szCs w:val="22"/>
              </w:rPr>
              <w:t>Authorship</w:t>
            </w:r>
          </w:p>
        </w:tc>
        <w:tc>
          <w:tcPr>
            <w:tcW w:w="3697" w:type="pct"/>
          </w:tcPr>
          <w:p w:rsidR="00D1160D" w:rsidRPr="00530302" w:rsidRDefault="001B6CE6" w:rsidP="00484B30">
            <w:pPr>
              <w:rPr>
                <w:sz w:val="22"/>
                <w:szCs w:val="22"/>
              </w:rPr>
            </w:pPr>
            <w:r>
              <w:rPr>
                <w:sz w:val="22"/>
                <w:szCs w:val="22"/>
              </w:rPr>
              <w:t>Text</w:t>
            </w:r>
            <w:r w:rsidR="00355FCE">
              <w:rPr>
                <w:sz w:val="22"/>
                <w:szCs w:val="22"/>
              </w:rPr>
              <w:t xml:space="preserve"> Chapter 9.</w:t>
            </w:r>
          </w:p>
        </w:tc>
      </w:tr>
      <w:tr w:rsidR="00D1160D" w:rsidTr="00D1160D">
        <w:tc>
          <w:tcPr>
            <w:tcW w:w="413" w:type="pct"/>
          </w:tcPr>
          <w:p w:rsidR="00D1160D" w:rsidRPr="00530302" w:rsidRDefault="00D1160D" w:rsidP="00477105">
            <w:pPr>
              <w:rPr>
                <w:sz w:val="22"/>
                <w:szCs w:val="22"/>
              </w:rPr>
            </w:pPr>
            <w:r>
              <w:rPr>
                <w:sz w:val="22"/>
                <w:szCs w:val="22"/>
              </w:rPr>
              <w:t>10</w:t>
            </w:r>
          </w:p>
        </w:tc>
        <w:tc>
          <w:tcPr>
            <w:tcW w:w="890" w:type="pct"/>
          </w:tcPr>
          <w:p w:rsidR="00D1160D" w:rsidRPr="00530302" w:rsidRDefault="00D1160D" w:rsidP="005A6D4A">
            <w:pPr>
              <w:rPr>
                <w:sz w:val="22"/>
                <w:szCs w:val="22"/>
              </w:rPr>
            </w:pPr>
            <w:r w:rsidRPr="00D1160D">
              <w:rPr>
                <w:sz w:val="22"/>
                <w:szCs w:val="22"/>
              </w:rPr>
              <w:t>Peer review</w:t>
            </w:r>
          </w:p>
        </w:tc>
        <w:tc>
          <w:tcPr>
            <w:tcW w:w="3697" w:type="pct"/>
          </w:tcPr>
          <w:p w:rsidR="00D1160D" w:rsidRPr="00530302" w:rsidRDefault="001B6CE6" w:rsidP="002A11B4">
            <w:pPr>
              <w:rPr>
                <w:sz w:val="22"/>
                <w:szCs w:val="22"/>
              </w:rPr>
            </w:pPr>
            <w:r>
              <w:rPr>
                <w:sz w:val="22"/>
                <w:szCs w:val="22"/>
              </w:rPr>
              <w:t>Text</w:t>
            </w:r>
            <w:r w:rsidR="00355FCE">
              <w:rPr>
                <w:sz w:val="22"/>
                <w:szCs w:val="22"/>
              </w:rPr>
              <w:t xml:space="preserve"> Chapter 10.</w:t>
            </w:r>
          </w:p>
        </w:tc>
      </w:tr>
      <w:tr w:rsidR="00D1160D" w:rsidTr="00D1160D">
        <w:tc>
          <w:tcPr>
            <w:tcW w:w="413" w:type="pct"/>
          </w:tcPr>
          <w:p w:rsidR="00D1160D" w:rsidRPr="00530302" w:rsidRDefault="00D1160D" w:rsidP="00477105">
            <w:pPr>
              <w:pStyle w:val="Heading2"/>
              <w:rPr>
                <w:b w:val="0"/>
                <w:bCs/>
                <w:sz w:val="22"/>
                <w:szCs w:val="22"/>
              </w:rPr>
            </w:pPr>
            <w:r>
              <w:rPr>
                <w:b w:val="0"/>
                <w:bCs/>
                <w:sz w:val="22"/>
                <w:szCs w:val="22"/>
              </w:rPr>
              <w:t>11</w:t>
            </w:r>
          </w:p>
        </w:tc>
        <w:tc>
          <w:tcPr>
            <w:tcW w:w="890" w:type="pct"/>
          </w:tcPr>
          <w:p w:rsidR="00D1160D" w:rsidRPr="00B969FA" w:rsidRDefault="00B969FA" w:rsidP="00530302">
            <w:pPr>
              <w:pStyle w:val="Heading2"/>
              <w:rPr>
                <w:b w:val="0"/>
                <w:bCs/>
                <w:sz w:val="22"/>
                <w:szCs w:val="22"/>
              </w:rPr>
            </w:pPr>
            <w:r>
              <w:rPr>
                <w:b w:val="0"/>
                <w:sz w:val="22"/>
                <w:szCs w:val="22"/>
              </w:rPr>
              <w:t>A</w:t>
            </w:r>
            <w:r w:rsidR="009A1A30">
              <w:rPr>
                <w:b w:val="0"/>
                <w:sz w:val="22"/>
                <w:szCs w:val="22"/>
              </w:rPr>
              <w:t>nimal R</w:t>
            </w:r>
            <w:r w:rsidRPr="00B969FA">
              <w:rPr>
                <w:b w:val="0"/>
                <w:sz w:val="22"/>
                <w:szCs w:val="22"/>
              </w:rPr>
              <w:t>esearch</w:t>
            </w:r>
          </w:p>
        </w:tc>
        <w:tc>
          <w:tcPr>
            <w:tcW w:w="3697" w:type="pct"/>
          </w:tcPr>
          <w:p w:rsidR="00D1160D" w:rsidRPr="00530302" w:rsidRDefault="001B6CE6" w:rsidP="00355FCE">
            <w:pPr>
              <w:rPr>
                <w:sz w:val="22"/>
                <w:szCs w:val="22"/>
              </w:rPr>
            </w:pPr>
            <w:r>
              <w:rPr>
                <w:sz w:val="22"/>
                <w:szCs w:val="22"/>
              </w:rPr>
              <w:t>Text</w:t>
            </w:r>
            <w:r w:rsidR="00355FCE">
              <w:rPr>
                <w:sz w:val="22"/>
                <w:szCs w:val="22"/>
              </w:rPr>
              <w:t xml:space="preserve"> Chapter 4</w:t>
            </w:r>
            <w:r>
              <w:rPr>
                <w:sz w:val="22"/>
                <w:szCs w:val="22"/>
              </w:rPr>
              <w:t>.</w:t>
            </w:r>
          </w:p>
        </w:tc>
      </w:tr>
      <w:tr w:rsidR="00D1160D" w:rsidTr="00D1160D">
        <w:tc>
          <w:tcPr>
            <w:tcW w:w="413" w:type="pct"/>
          </w:tcPr>
          <w:p w:rsidR="00D1160D" w:rsidRPr="00530302" w:rsidRDefault="00D1160D" w:rsidP="00477105">
            <w:pPr>
              <w:rPr>
                <w:sz w:val="22"/>
                <w:szCs w:val="22"/>
              </w:rPr>
            </w:pPr>
            <w:r>
              <w:rPr>
                <w:sz w:val="22"/>
                <w:szCs w:val="22"/>
              </w:rPr>
              <w:t>12</w:t>
            </w:r>
          </w:p>
        </w:tc>
        <w:tc>
          <w:tcPr>
            <w:tcW w:w="890" w:type="pct"/>
          </w:tcPr>
          <w:p w:rsidR="00D1160D" w:rsidRPr="00530302" w:rsidRDefault="00B969FA" w:rsidP="00B566D1">
            <w:pPr>
              <w:rPr>
                <w:sz w:val="22"/>
                <w:szCs w:val="22"/>
              </w:rPr>
            </w:pPr>
            <w:r>
              <w:rPr>
                <w:sz w:val="22"/>
                <w:szCs w:val="22"/>
              </w:rPr>
              <w:t>Cases: Goldberger and Student Case</w:t>
            </w:r>
          </w:p>
        </w:tc>
        <w:tc>
          <w:tcPr>
            <w:tcW w:w="3697" w:type="pct"/>
          </w:tcPr>
          <w:p w:rsidR="001B6CE6" w:rsidRDefault="0006496C" w:rsidP="00B566D1">
            <w:pPr>
              <w:rPr>
                <w:sz w:val="22"/>
                <w:szCs w:val="22"/>
              </w:rPr>
            </w:pPr>
            <w:r>
              <w:rPr>
                <w:sz w:val="22"/>
                <w:szCs w:val="22"/>
              </w:rPr>
              <w:t xml:space="preserve">Excerpts from </w:t>
            </w:r>
            <w:r w:rsidR="00E14930">
              <w:rPr>
                <w:sz w:val="22"/>
                <w:szCs w:val="22"/>
              </w:rPr>
              <w:t xml:space="preserve"> Terris, M., ed. (1964).  </w:t>
            </w:r>
            <w:r>
              <w:rPr>
                <w:sz w:val="22"/>
                <w:szCs w:val="22"/>
              </w:rPr>
              <w:t>Goldberger on Pellagra Baton Rouge: Louisiana State University Press</w:t>
            </w:r>
            <w:r w:rsidR="00E14930">
              <w:rPr>
                <w:sz w:val="22"/>
                <w:szCs w:val="22"/>
              </w:rPr>
              <w:t>.</w:t>
            </w:r>
            <w:r>
              <w:rPr>
                <w:sz w:val="22"/>
                <w:szCs w:val="22"/>
              </w:rPr>
              <w:t xml:space="preserve"> </w:t>
            </w:r>
          </w:p>
          <w:p w:rsidR="00D1160D" w:rsidRPr="00530302" w:rsidRDefault="00B969FA" w:rsidP="00B566D1">
            <w:pPr>
              <w:rPr>
                <w:sz w:val="22"/>
                <w:szCs w:val="22"/>
              </w:rPr>
            </w:pPr>
            <w:r>
              <w:rPr>
                <w:sz w:val="22"/>
                <w:szCs w:val="22"/>
              </w:rPr>
              <w:t xml:space="preserve"> </w:t>
            </w:r>
          </w:p>
        </w:tc>
      </w:tr>
      <w:tr w:rsidR="00D1160D" w:rsidTr="00D1160D">
        <w:tc>
          <w:tcPr>
            <w:tcW w:w="413" w:type="pct"/>
          </w:tcPr>
          <w:p w:rsidR="00D1160D" w:rsidRPr="00530302" w:rsidRDefault="00D1160D" w:rsidP="00477105">
            <w:pPr>
              <w:rPr>
                <w:sz w:val="22"/>
                <w:szCs w:val="22"/>
              </w:rPr>
            </w:pPr>
            <w:r>
              <w:rPr>
                <w:sz w:val="22"/>
                <w:szCs w:val="22"/>
              </w:rPr>
              <w:t>13</w:t>
            </w:r>
          </w:p>
        </w:tc>
        <w:tc>
          <w:tcPr>
            <w:tcW w:w="890" w:type="pct"/>
          </w:tcPr>
          <w:p w:rsidR="00D1160D" w:rsidRPr="00530302" w:rsidRDefault="00B969FA" w:rsidP="001B6CE6">
            <w:pPr>
              <w:rPr>
                <w:sz w:val="22"/>
                <w:szCs w:val="22"/>
              </w:rPr>
            </w:pPr>
            <w:r>
              <w:rPr>
                <w:sz w:val="22"/>
                <w:szCs w:val="22"/>
              </w:rPr>
              <w:t xml:space="preserve">Cases:  </w:t>
            </w:r>
            <w:r w:rsidR="001B6CE6">
              <w:rPr>
                <w:sz w:val="22"/>
                <w:szCs w:val="22"/>
              </w:rPr>
              <w:t>Willow</w:t>
            </w:r>
            <w:r w:rsidR="000F4F98">
              <w:rPr>
                <w:sz w:val="22"/>
                <w:szCs w:val="22"/>
              </w:rPr>
              <w:t>by</w:t>
            </w:r>
            <w:r w:rsidR="001B6CE6">
              <w:rPr>
                <w:sz w:val="22"/>
                <w:szCs w:val="22"/>
              </w:rPr>
              <w:t>, Guatamalan Study</w:t>
            </w:r>
            <w:r w:rsidR="000F4F98">
              <w:rPr>
                <w:sz w:val="22"/>
                <w:szCs w:val="22"/>
              </w:rPr>
              <w:t xml:space="preserve"> and Student Cases…</w:t>
            </w:r>
          </w:p>
        </w:tc>
        <w:tc>
          <w:tcPr>
            <w:tcW w:w="3697" w:type="pct"/>
          </w:tcPr>
          <w:p w:rsidR="001B6CE6" w:rsidRPr="001B6CE6" w:rsidRDefault="001B6CE6" w:rsidP="001B6CE6">
            <w:pPr>
              <w:rPr>
                <w:sz w:val="22"/>
                <w:szCs w:val="22"/>
              </w:rPr>
            </w:pPr>
            <w:r w:rsidRPr="001B6CE6">
              <w:rPr>
                <w:sz w:val="22"/>
                <w:szCs w:val="22"/>
              </w:rPr>
              <w:t xml:space="preserve">Rob Stein (October 1, 2010). "U.S. apologizes for newly revealed syphilis experiments done in Guatemala". Washington Post. http://www.washingtonpost.com/wp-dyn/content/article/2010/10/01/AR2010100104457.html?hpid=topnews. </w:t>
            </w:r>
          </w:p>
          <w:p w:rsidR="00E14930" w:rsidRDefault="00E14930" w:rsidP="001B6CE6">
            <w:pPr>
              <w:rPr>
                <w:sz w:val="22"/>
                <w:szCs w:val="22"/>
              </w:rPr>
            </w:pPr>
          </w:p>
          <w:p w:rsidR="00D1160D" w:rsidRPr="00530302" w:rsidRDefault="001B6CE6" w:rsidP="001B6CE6">
            <w:pPr>
              <w:rPr>
                <w:sz w:val="22"/>
                <w:szCs w:val="22"/>
              </w:rPr>
            </w:pPr>
            <w:r>
              <w:rPr>
                <w:sz w:val="22"/>
                <w:szCs w:val="22"/>
              </w:rPr>
              <w:t>Willowby handout, instructor prepared.</w:t>
            </w:r>
          </w:p>
        </w:tc>
      </w:tr>
      <w:tr w:rsidR="00D1160D" w:rsidTr="00D1160D">
        <w:tc>
          <w:tcPr>
            <w:tcW w:w="413" w:type="pct"/>
          </w:tcPr>
          <w:p w:rsidR="00D1160D" w:rsidRPr="00530302" w:rsidRDefault="00D1160D" w:rsidP="00A922BA">
            <w:pPr>
              <w:rPr>
                <w:sz w:val="22"/>
                <w:szCs w:val="22"/>
              </w:rPr>
            </w:pPr>
            <w:r>
              <w:rPr>
                <w:sz w:val="22"/>
                <w:szCs w:val="22"/>
              </w:rPr>
              <w:t>14</w:t>
            </w:r>
          </w:p>
        </w:tc>
        <w:tc>
          <w:tcPr>
            <w:tcW w:w="890" w:type="pct"/>
          </w:tcPr>
          <w:p w:rsidR="00D1160D" w:rsidRPr="00530302" w:rsidRDefault="000F4F98" w:rsidP="00B566D1">
            <w:pPr>
              <w:rPr>
                <w:sz w:val="22"/>
                <w:szCs w:val="22"/>
              </w:rPr>
            </w:pPr>
            <w:r>
              <w:rPr>
                <w:sz w:val="22"/>
                <w:szCs w:val="22"/>
              </w:rPr>
              <w:t>Cases:  Modern Cases and Student Cases</w:t>
            </w:r>
          </w:p>
        </w:tc>
        <w:tc>
          <w:tcPr>
            <w:tcW w:w="3697" w:type="pct"/>
          </w:tcPr>
          <w:p w:rsidR="00D1160D" w:rsidRPr="00530302" w:rsidRDefault="00BD494A" w:rsidP="00B566D1">
            <w:pPr>
              <w:rPr>
                <w:sz w:val="22"/>
                <w:szCs w:val="22"/>
              </w:rPr>
            </w:pPr>
            <w:r>
              <w:rPr>
                <w:sz w:val="22"/>
                <w:szCs w:val="22"/>
              </w:rPr>
              <w:t>Excerpts from:  Skloot, R. (2010). The Immortal Life of Henrietta Lacks.  New York: Crown Publishers, Random House.</w:t>
            </w:r>
          </w:p>
        </w:tc>
      </w:tr>
      <w:tr w:rsidR="00D1160D" w:rsidTr="00D1160D">
        <w:tc>
          <w:tcPr>
            <w:tcW w:w="413" w:type="pct"/>
          </w:tcPr>
          <w:p w:rsidR="00D1160D" w:rsidRPr="00530302" w:rsidRDefault="00D1160D" w:rsidP="00477105">
            <w:pPr>
              <w:rPr>
                <w:sz w:val="22"/>
                <w:szCs w:val="22"/>
              </w:rPr>
            </w:pPr>
            <w:r>
              <w:rPr>
                <w:sz w:val="22"/>
                <w:szCs w:val="22"/>
              </w:rPr>
              <w:t>15</w:t>
            </w:r>
          </w:p>
        </w:tc>
        <w:tc>
          <w:tcPr>
            <w:tcW w:w="890" w:type="pct"/>
          </w:tcPr>
          <w:p w:rsidR="00D1160D" w:rsidRPr="00530302" w:rsidRDefault="000F4F98" w:rsidP="00477105">
            <w:pPr>
              <w:rPr>
                <w:sz w:val="22"/>
                <w:szCs w:val="22"/>
              </w:rPr>
            </w:pPr>
            <w:r>
              <w:rPr>
                <w:sz w:val="22"/>
                <w:szCs w:val="22"/>
              </w:rPr>
              <w:t>Cases:  From Headlines and Student Cases</w:t>
            </w:r>
          </w:p>
        </w:tc>
        <w:tc>
          <w:tcPr>
            <w:tcW w:w="3697" w:type="pct"/>
          </w:tcPr>
          <w:p w:rsidR="00D1160D" w:rsidRPr="00530302" w:rsidRDefault="001B6CE6" w:rsidP="001B6CE6">
            <w:pPr>
              <w:rPr>
                <w:sz w:val="22"/>
                <w:szCs w:val="22"/>
              </w:rPr>
            </w:pPr>
            <w:r>
              <w:rPr>
                <w:sz w:val="22"/>
                <w:szCs w:val="22"/>
              </w:rPr>
              <w:t>TBA</w:t>
            </w:r>
          </w:p>
        </w:tc>
      </w:tr>
    </w:tbl>
    <w:p w:rsidR="00A31ACD" w:rsidRDefault="00A31ACD">
      <w:pPr>
        <w:pStyle w:val="BodyText"/>
      </w:pPr>
    </w:p>
    <w:p w:rsidR="00A31ACD" w:rsidRDefault="00D30CBE" w:rsidP="00A31ACD">
      <w:pPr>
        <w:pStyle w:val="BodyText"/>
      </w:pPr>
      <w:r>
        <w:t>Statement of University’s Honesty Policy (cheating and use of copyrighted materials)</w:t>
      </w:r>
    </w:p>
    <w:p w:rsidR="00A31ACD" w:rsidRDefault="00A31ACD" w:rsidP="00A31ACD">
      <w:pPr>
        <w:pStyle w:val="BodyText"/>
      </w:pPr>
    </w:p>
    <w:p w:rsidR="00D30CBE" w:rsidRPr="00A31ACD" w:rsidRDefault="00D30CBE" w:rsidP="00A31ACD">
      <w:pPr>
        <w:pStyle w:val="BodyText"/>
      </w:pPr>
      <w:r>
        <w:rPr>
          <w:i/>
          <w:iCs/>
          <w:u w:val="none"/>
        </w:rPr>
        <w:t>Academic Integrity –</w:t>
      </w:r>
      <w:r>
        <w:rPr>
          <w:u w:val="none"/>
        </w:rPr>
        <w:t xml:space="preserve"> </w:t>
      </w:r>
      <w:r>
        <w:rPr>
          <w:b w:val="0"/>
          <w:bCs w:val="0"/>
          <w:u w:val="none"/>
        </w:rPr>
        <w:t xml:space="preserve">Students are expected to act in accordance with the University of Florida policy on academic integrity (see Student Conduct Code, the Graduate Student Handbook or this web site for more details:  </w:t>
      </w:r>
      <w:hyperlink r:id="rId12" w:history="1">
        <w:r>
          <w:rPr>
            <w:rStyle w:val="Hyperlink"/>
            <w:bCs w:val="0"/>
          </w:rPr>
          <w:t>www.dso.ufl.edu/judicial/procedures/academicguide.php</w:t>
        </w:r>
      </w:hyperlink>
      <w:r>
        <w:rPr>
          <w:b w:val="0"/>
          <w:bCs w:val="0"/>
          <w:u w:val="none"/>
        </w:rPr>
        <w:t xml:space="preserve">).  </w:t>
      </w:r>
    </w:p>
    <w:p w:rsidR="00D30CBE" w:rsidRDefault="00D30CBE">
      <w:pPr>
        <w:pStyle w:val="Heading4"/>
        <w:rPr>
          <w:b w:val="0"/>
          <w:bCs/>
          <w:u w:val="none"/>
        </w:rPr>
      </w:pPr>
    </w:p>
    <w:p w:rsidR="00D30CBE" w:rsidRDefault="00D30CBE" w:rsidP="00A31ACD">
      <w:pPr>
        <w:pStyle w:val="Heading4"/>
        <w:rPr>
          <w:b w:val="0"/>
          <w:bCs/>
        </w:rPr>
      </w:pPr>
      <w:r>
        <w:rPr>
          <w:b w:val="0"/>
          <w:bCs/>
          <w:u w:val="none"/>
        </w:rPr>
        <w:t>Cheating, lying, misrepresentation, or plagiarism in any form is unacceptable and inexcusable behavior.</w:t>
      </w:r>
      <w:r w:rsidR="00A31ACD">
        <w:rPr>
          <w:b w:val="0"/>
          <w:bCs/>
          <w:u w:val="none"/>
        </w:rPr>
        <w:t xml:space="preserve"> </w:t>
      </w:r>
      <w:r>
        <w:rPr>
          <w:b w:val="0"/>
          <w:bCs/>
        </w:rPr>
        <w:t>We, the members of the University of Florida community, pledge to hold ourselves and our peers to the highest standards of honesty and integrity.</w:t>
      </w:r>
    </w:p>
    <w:p w:rsidR="00D30CBE" w:rsidRDefault="00D30CBE">
      <w:pPr>
        <w:rPr>
          <w:sz w:val="24"/>
        </w:rPr>
      </w:pPr>
    </w:p>
    <w:p w:rsidR="00D30CBE" w:rsidRDefault="00D30CBE">
      <w:pPr>
        <w:pStyle w:val="Heading4"/>
        <w:widowControl/>
        <w:rPr>
          <w:bCs/>
          <w:snapToGrid/>
        </w:rPr>
      </w:pPr>
      <w:r>
        <w:rPr>
          <w:bCs/>
          <w:snapToGrid/>
        </w:rPr>
        <w:t>Policy Related to Class Attendance</w:t>
      </w:r>
      <w:r w:rsidR="00A31ACD">
        <w:rPr>
          <w:bCs/>
          <w:snapToGrid/>
        </w:rPr>
        <w:t xml:space="preserve"> and</w:t>
      </w:r>
      <w:r>
        <w:rPr>
          <w:bCs/>
          <w:snapToGrid/>
        </w:rPr>
        <w:t xml:space="preserve"> </w:t>
      </w:r>
      <w:r w:rsidR="00A31ACD">
        <w:rPr>
          <w:bCs/>
          <w:snapToGrid/>
        </w:rPr>
        <w:t>Make-up Work</w:t>
      </w:r>
    </w:p>
    <w:p w:rsidR="00D30CBE" w:rsidRDefault="00D30CBE">
      <w:pPr>
        <w:pStyle w:val="Heading4"/>
        <w:widowControl/>
        <w:rPr>
          <w:bCs/>
          <w:snapToGrid/>
        </w:rPr>
      </w:pPr>
    </w:p>
    <w:p w:rsidR="00D30CBE" w:rsidRDefault="00A31ACD">
      <w:pPr>
        <w:rPr>
          <w:bCs/>
          <w:sz w:val="24"/>
        </w:rPr>
      </w:pPr>
      <w:r>
        <w:rPr>
          <w:sz w:val="22"/>
          <w:szCs w:val="22"/>
        </w:rPr>
        <w:t xml:space="preserve">This is an interactive class and students are expected to be present and </w:t>
      </w:r>
      <w:r w:rsidR="00D30CBE">
        <w:rPr>
          <w:bCs/>
          <w:sz w:val="24"/>
        </w:rPr>
        <w:t xml:space="preserve">to participate in all class sessions.  </w:t>
      </w:r>
      <w:r>
        <w:rPr>
          <w:bCs/>
          <w:sz w:val="24"/>
        </w:rPr>
        <w:t xml:space="preserve">Students who know they will need to miss a class session should discuss this with the instructor prior to the date of the class.  </w:t>
      </w:r>
    </w:p>
    <w:p w:rsidR="00D30CBE" w:rsidRDefault="00D30CBE">
      <w:pPr>
        <w:rPr>
          <w:sz w:val="24"/>
        </w:rPr>
      </w:pPr>
    </w:p>
    <w:p w:rsidR="00D30CBE" w:rsidRDefault="00D30CBE">
      <w:pPr>
        <w:pStyle w:val="Heading4"/>
        <w:widowControl/>
      </w:pPr>
      <w:r>
        <w:rPr>
          <w:snapToGrid/>
        </w:rPr>
        <w:t>Statement Related to Accommodations for Students with Disabilities</w:t>
      </w:r>
    </w:p>
    <w:p w:rsidR="00D30CBE" w:rsidRDefault="00D30CBE">
      <w:pPr>
        <w:spacing w:before="100" w:beforeAutospacing="1" w:after="100" w:afterAutospacing="1"/>
        <w:outlineLvl w:val="2"/>
        <w:rPr>
          <w:b/>
          <w:bCs/>
          <w:sz w:val="24"/>
        </w:rPr>
      </w:pPr>
      <w:r>
        <w:rPr>
          <w:b/>
          <w:bCs/>
          <w:sz w:val="24"/>
        </w:rPr>
        <w:t>Accommodations for Students with Disabilities</w:t>
      </w:r>
    </w:p>
    <w:p w:rsidR="00D30CBE" w:rsidRDefault="00D30CBE">
      <w:pPr>
        <w:rPr>
          <w:sz w:val="24"/>
        </w:rPr>
      </w:pPr>
      <w:r>
        <w:rPr>
          <w:sz w:val="24"/>
        </w:rPr>
        <w:t>If you require classroom accommodation because of a disability, you must first register with the Dean of Students Office (</w:t>
      </w:r>
      <w:hyperlink r:id="rId13" w:history="1">
        <w:r w:rsidR="00014CE3" w:rsidRPr="00014CE3">
          <w:rPr>
            <w:rStyle w:val="Hyperlink"/>
            <w:sz w:val="24"/>
          </w:rPr>
          <w:t>http://www.dso.ufl.edu/</w:t>
        </w:r>
      </w:hyperlink>
      <w:r>
        <w:rPr>
          <w:sz w:val="24"/>
        </w:rPr>
        <w:t>). The Dean of Students Office will provide documentation to you, which you then give to the instructor when requesting accommodation. The College is committed to providing reasonable accommodations to assist students in their coursework.</w:t>
      </w:r>
    </w:p>
    <w:p w:rsidR="00D30CBE" w:rsidRDefault="00D30CBE">
      <w:pPr>
        <w:rPr>
          <w:sz w:val="24"/>
        </w:rPr>
      </w:pPr>
      <w:r>
        <w:rPr>
          <w:sz w:val="24"/>
        </w:rPr>
        <w:t xml:space="preserve"> </w:t>
      </w:r>
    </w:p>
    <w:p w:rsidR="00D30CBE" w:rsidRDefault="00D30CBE">
      <w:pPr>
        <w:pStyle w:val="Heading4"/>
        <w:widowControl/>
        <w:rPr>
          <w:bCs/>
          <w:iCs/>
          <w:snapToGrid/>
        </w:rPr>
      </w:pPr>
      <w:r>
        <w:rPr>
          <w:bCs/>
          <w:iCs/>
          <w:snapToGrid/>
        </w:rPr>
        <w:t>Counseling and Student Health</w:t>
      </w:r>
    </w:p>
    <w:p w:rsidR="00D30CBE" w:rsidRDefault="00D30CBE">
      <w:pPr>
        <w:rPr>
          <w:bCs/>
          <w:iCs/>
          <w:sz w:val="24"/>
        </w:rPr>
      </w:pPr>
    </w:p>
    <w:p w:rsidR="00D30CBE" w:rsidRDefault="00D30CBE">
      <w:pPr>
        <w:rPr>
          <w:bCs/>
          <w:iCs/>
          <w:sz w:val="24"/>
        </w:rPr>
      </w:pPr>
      <w:r>
        <w:rPr>
          <w:bCs/>
          <w:iCs/>
          <w:sz w:val="24"/>
        </w:rPr>
        <w:t xml:space="preserve">Students may occasionally have personal issues that arise in the course of pursuing higher education or that may interfere with their academic performance. If you find yourself facing problems affecting your coursework, you are encouraged to talk with an instructor and to seek confidential assistance at the </w:t>
      </w:r>
      <w:r w:rsidR="00424656">
        <w:rPr>
          <w:bCs/>
          <w:iCs/>
          <w:sz w:val="24"/>
        </w:rPr>
        <w:t>UF</w:t>
      </w:r>
      <w:r>
        <w:rPr>
          <w:bCs/>
          <w:iCs/>
          <w:sz w:val="24"/>
        </w:rPr>
        <w:t xml:space="preserve"> Counseling </w:t>
      </w:r>
      <w:r w:rsidR="00424656">
        <w:rPr>
          <w:bCs/>
          <w:iCs/>
          <w:sz w:val="24"/>
        </w:rPr>
        <w:t>&amp; Wellness Center, 352-392-1575. Visit their web site</w:t>
      </w:r>
      <w:r>
        <w:rPr>
          <w:bCs/>
          <w:iCs/>
          <w:sz w:val="24"/>
        </w:rPr>
        <w:t xml:space="preserve"> for more information: </w:t>
      </w:r>
      <w:hyperlink r:id="rId14" w:history="1">
        <w:r w:rsidR="00424656" w:rsidRPr="006D76D2">
          <w:rPr>
            <w:rStyle w:val="Hyperlink"/>
            <w:bCs/>
            <w:iCs/>
            <w:sz w:val="24"/>
          </w:rPr>
          <w:t>http://www.counseling.ufl.edu/</w:t>
        </w:r>
      </w:hyperlink>
      <w:r w:rsidR="00424656">
        <w:rPr>
          <w:bCs/>
          <w:iCs/>
          <w:sz w:val="24"/>
        </w:rPr>
        <w:t>.</w:t>
      </w:r>
    </w:p>
    <w:p w:rsidR="00D30CBE" w:rsidRDefault="00D30CBE">
      <w:pPr>
        <w:rPr>
          <w:bCs/>
          <w:iCs/>
          <w:color w:val="000099"/>
          <w:sz w:val="24"/>
        </w:rPr>
      </w:pPr>
    </w:p>
    <w:p w:rsidR="00D30CBE" w:rsidRDefault="00D30CBE">
      <w:pPr>
        <w:tabs>
          <w:tab w:val="left" w:pos="-720"/>
          <w:tab w:val="left" w:pos="720"/>
          <w:tab w:val="left" w:pos="1152"/>
          <w:tab w:val="left" w:pos="1440"/>
          <w:tab w:val="left" w:pos="1800"/>
          <w:tab w:val="left" w:pos="2160"/>
          <w:tab w:val="left" w:pos="2592"/>
          <w:tab w:val="left" w:pos="2880"/>
          <w:tab w:val="left" w:pos="3600"/>
          <w:tab w:val="left" w:pos="4320"/>
          <w:tab w:val="left" w:pos="5040"/>
          <w:tab w:val="left" w:pos="5760"/>
          <w:tab w:val="right" w:leader="dot" w:pos="9000"/>
        </w:tabs>
        <w:rPr>
          <w:sz w:val="24"/>
        </w:rPr>
      </w:pPr>
      <w:r>
        <w:rPr>
          <w:sz w:val="24"/>
        </w:rPr>
        <w:t xml:space="preserve">The Student Health Care Center at Shands is a satellite clinic of the main Student Health Care Center located on </w:t>
      </w:r>
      <w:smartTag w:uri="urn:schemas-microsoft-com:office:smarttags" w:element="Street">
        <w:smartTag w:uri="urn:schemas-microsoft-com:office:smarttags" w:element="address">
          <w:r>
            <w:rPr>
              <w:sz w:val="24"/>
            </w:rPr>
            <w:t>Fletcher Drive</w:t>
          </w:r>
        </w:smartTag>
      </w:smartTag>
      <w:r>
        <w:rPr>
          <w:sz w:val="24"/>
        </w:rPr>
        <w:t xml:space="preserve"> on campus. Student Health at Shands offers a variety of clinical services, including primary care, women's health care, immunizations, mental health care, and pharmacy services.  The clinic is located on the second floor of the </w:t>
      </w:r>
      <w:smartTag w:uri="urn:schemas-microsoft-com:office:smarttags" w:element="PlaceName">
        <w:r>
          <w:rPr>
            <w:sz w:val="24"/>
          </w:rPr>
          <w:t>Dental</w:t>
        </w:r>
      </w:smartTag>
      <w:r>
        <w:rPr>
          <w:sz w:val="24"/>
        </w:rPr>
        <w:t xml:space="preserve"> </w:t>
      </w:r>
      <w:smartTag w:uri="urn:schemas-microsoft-com:office:smarttags" w:element="PlaceType">
        <w:r>
          <w:rPr>
            <w:sz w:val="24"/>
          </w:rPr>
          <w:t>Tower</w:t>
        </w:r>
      </w:smartTag>
      <w:r>
        <w:rPr>
          <w:sz w:val="24"/>
        </w:rPr>
        <w:t xml:space="preserve"> in the </w:t>
      </w:r>
      <w:smartTag w:uri="urn:schemas-microsoft-com:office:smarttags" w:element="place">
        <w:smartTag w:uri="urn:schemas-microsoft-com:office:smarttags" w:element="PlaceName">
          <w:r>
            <w:rPr>
              <w:sz w:val="24"/>
            </w:rPr>
            <w:t>Health</w:t>
          </w:r>
        </w:smartTag>
        <w:r>
          <w:rPr>
            <w:sz w:val="24"/>
          </w:rPr>
          <w:t xml:space="preserve"> </w:t>
        </w:r>
        <w:smartTag w:uri="urn:schemas-microsoft-com:office:smarttags" w:element="PlaceName">
          <w:r>
            <w:rPr>
              <w:sz w:val="24"/>
            </w:rPr>
            <w:t>Science</w:t>
          </w:r>
        </w:smartTag>
        <w:r>
          <w:rPr>
            <w:sz w:val="24"/>
          </w:rPr>
          <w:t xml:space="preserve"> </w:t>
        </w:r>
        <w:smartTag w:uri="urn:schemas-microsoft-com:office:smarttags" w:element="PlaceType">
          <w:r>
            <w:rPr>
              <w:sz w:val="24"/>
            </w:rPr>
            <w:t>Center</w:t>
          </w:r>
        </w:smartTag>
      </w:smartTag>
      <w:r>
        <w:rPr>
          <w:sz w:val="24"/>
        </w:rPr>
        <w:t xml:space="preserve">.  For more information, contact the clinic at 392-0627 or check out the web site at: </w:t>
      </w:r>
      <w:hyperlink r:id="rId15" w:history="1">
        <w:r>
          <w:rPr>
            <w:rStyle w:val="Hyperlink"/>
            <w:sz w:val="24"/>
          </w:rPr>
          <w:t>www.health.ufl.edu/shcc</w:t>
        </w:r>
      </w:hyperlink>
    </w:p>
    <w:p w:rsidR="00D30CBE" w:rsidRDefault="00D30CBE">
      <w:pPr>
        <w:tabs>
          <w:tab w:val="left" w:pos="-720"/>
          <w:tab w:val="left" w:pos="720"/>
          <w:tab w:val="left" w:pos="1152"/>
          <w:tab w:val="left" w:pos="1440"/>
          <w:tab w:val="left" w:pos="1800"/>
          <w:tab w:val="left" w:pos="2160"/>
          <w:tab w:val="left" w:pos="2592"/>
          <w:tab w:val="left" w:pos="2880"/>
          <w:tab w:val="left" w:pos="3600"/>
          <w:tab w:val="left" w:pos="4320"/>
          <w:tab w:val="left" w:pos="5040"/>
          <w:tab w:val="left" w:pos="5760"/>
          <w:tab w:val="right" w:leader="dot" w:pos="9000"/>
        </w:tabs>
        <w:rPr>
          <w:sz w:val="24"/>
        </w:rPr>
      </w:pPr>
    </w:p>
    <w:p w:rsidR="00D30CBE" w:rsidRPr="006163E3" w:rsidRDefault="00D30CBE">
      <w:pPr>
        <w:rPr>
          <w:b/>
          <w:sz w:val="24"/>
        </w:rPr>
      </w:pPr>
      <w:r>
        <w:rPr>
          <w:bCs/>
          <w:iCs/>
          <w:sz w:val="24"/>
        </w:rPr>
        <w:t>Crisis intervention is always available 24/7 from:</w:t>
      </w:r>
      <w:r w:rsidR="006163E3">
        <w:rPr>
          <w:bCs/>
          <w:iCs/>
          <w:sz w:val="24"/>
        </w:rPr>
        <w:t xml:space="preserve"> </w:t>
      </w:r>
      <w:r>
        <w:rPr>
          <w:bCs/>
          <w:iCs/>
          <w:sz w:val="24"/>
        </w:rPr>
        <w:t>Alachua County Crisis Center: (352) 264-6789.</w:t>
      </w:r>
      <w:r w:rsidR="006163E3">
        <w:rPr>
          <w:bCs/>
          <w:iCs/>
          <w:sz w:val="24"/>
        </w:rPr>
        <w:t xml:space="preserve"> </w:t>
      </w:r>
      <w:r w:rsidR="00207463">
        <w:rPr>
          <w:bCs/>
          <w:iCs/>
          <w:sz w:val="24"/>
        </w:rPr>
        <w:t xml:space="preserve">From the Crisis Center: </w:t>
      </w:r>
      <w:r w:rsidR="00207463" w:rsidRPr="00207463">
        <w:rPr>
          <w:b/>
          <w:bCs/>
          <w:iCs/>
          <w:sz w:val="24"/>
        </w:rPr>
        <w:t>“</w:t>
      </w:r>
      <w:r w:rsidRPr="006163E3">
        <w:rPr>
          <w:b/>
          <w:iCs/>
          <w:sz w:val="24"/>
        </w:rPr>
        <w:t>Do not wait until you reach a crisis to come in and talk with us.  We have helped many students through stressful situations impacting their academic performance.  You are not alone so do not be afraid to ask for assistance</w:t>
      </w:r>
      <w:r w:rsidR="00207463">
        <w:rPr>
          <w:b/>
          <w:sz w:val="24"/>
        </w:rPr>
        <w:t>.”</w:t>
      </w:r>
      <w:r w:rsidRPr="006163E3">
        <w:rPr>
          <w:b/>
          <w:sz w:val="24"/>
        </w:rPr>
        <w:t xml:space="preserve"> </w:t>
      </w:r>
    </w:p>
    <w:p w:rsidR="00D30CBE" w:rsidRDefault="00D30CBE">
      <w:pPr>
        <w:pStyle w:val="BodyText"/>
      </w:pPr>
    </w:p>
    <w:p w:rsidR="006163E3" w:rsidRDefault="00D30CBE" w:rsidP="006163E3">
      <w:pPr>
        <w:pStyle w:val="BodyText"/>
      </w:pPr>
      <w:r>
        <w:t>Class Deme</w:t>
      </w:r>
      <w:r w:rsidR="006163E3">
        <w:t>anor Expected by the Professor</w:t>
      </w:r>
    </w:p>
    <w:p w:rsidR="006163E3" w:rsidRDefault="006163E3" w:rsidP="006163E3">
      <w:pPr>
        <w:pStyle w:val="BodyText"/>
      </w:pPr>
    </w:p>
    <w:p w:rsidR="00D30CBE" w:rsidRDefault="00242D02" w:rsidP="006163E3">
      <w:pPr>
        <w:rPr>
          <w:sz w:val="24"/>
        </w:rPr>
      </w:pPr>
      <w:r>
        <w:rPr>
          <w:sz w:val="24"/>
        </w:rPr>
        <w:t xml:space="preserve">As a classroom of scholars, the instructor will treat students with respect and expects respect in return. The classroom </w:t>
      </w:r>
      <w:r w:rsidR="006163E3">
        <w:rPr>
          <w:sz w:val="24"/>
        </w:rPr>
        <w:t xml:space="preserve">climate </w:t>
      </w:r>
      <w:r>
        <w:rPr>
          <w:sz w:val="24"/>
        </w:rPr>
        <w:t xml:space="preserve">will </w:t>
      </w:r>
      <w:r w:rsidR="006163E3">
        <w:rPr>
          <w:sz w:val="24"/>
        </w:rPr>
        <w:t xml:space="preserve">be supportive, encouraging and open. </w:t>
      </w:r>
      <w:r>
        <w:rPr>
          <w:sz w:val="24"/>
        </w:rPr>
        <w:t xml:space="preserve">To this end, </w:t>
      </w:r>
      <w:r w:rsidR="006163E3">
        <w:rPr>
          <w:sz w:val="24"/>
        </w:rPr>
        <w:t xml:space="preserve">no one should be taking calls or texts or using their laptops for other purposes than taking notes while the class is in session, except in the case of emergency. </w:t>
      </w:r>
      <w:r>
        <w:rPr>
          <w:sz w:val="24"/>
        </w:rPr>
        <w:t>Electronic items must be turned off</w:t>
      </w:r>
      <w:r w:rsidR="006163E3">
        <w:rPr>
          <w:sz w:val="24"/>
        </w:rPr>
        <w:t xml:space="preserve"> if they appear to detract from classroom discussion and attention.  Please listen attentively</w:t>
      </w:r>
      <w:r>
        <w:rPr>
          <w:sz w:val="24"/>
        </w:rPr>
        <w:t>;</w:t>
      </w:r>
      <w:r w:rsidR="006163E3">
        <w:rPr>
          <w:sz w:val="24"/>
        </w:rPr>
        <w:t xml:space="preserve"> participation is required.  When opinions differ, please listen first, and then prepare to comment.  If you feel you have been treated disrespectfully by any member of the scholastic community involved in this course, please bring this to </w:t>
      </w:r>
      <w:r>
        <w:rPr>
          <w:sz w:val="24"/>
        </w:rPr>
        <w:t>the instructor’s at</w:t>
      </w:r>
      <w:r w:rsidR="006163E3">
        <w:rPr>
          <w:sz w:val="24"/>
        </w:rPr>
        <w:t xml:space="preserve">tention privately </w:t>
      </w:r>
      <w:r>
        <w:rPr>
          <w:sz w:val="24"/>
        </w:rPr>
        <w:t>for remediation.</w:t>
      </w:r>
      <w:r w:rsidR="006163E3">
        <w:rPr>
          <w:sz w:val="24"/>
        </w:rPr>
        <w:t xml:space="preserve"> </w:t>
      </w:r>
    </w:p>
    <w:p w:rsidR="00D30CBE" w:rsidRDefault="00D30CBE">
      <w:pPr>
        <w:ind w:left="720"/>
        <w:rPr>
          <w:sz w:val="24"/>
        </w:rPr>
      </w:pPr>
    </w:p>
    <w:sectPr w:rsidR="00D30CBE" w:rsidSect="00E2750E">
      <w:headerReference w:type="default" r:id="rId16"/>
      <w:footerReference w:type="even" r:id="rId17"/>
      <w:footerReference w:type="default" r:id="rId18"/>
      <w:footerReference w:type="first" r:id="rId1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9FA" w:rsidRDefault="00B969FA">
      <w:r>
        <w:separator/>
      </w:r>
    </w:p>
  </w:endnote>
  <w:endnote w:type="continuationSeparator" w:id="0">
    <w:p w:rsidR="00B969FA" w:rsidRDefault="00B969FA">
      <w:r>
        <w:continuationSeparator/>
      </w:r>
    </w:p>
  </w:endnote>
  <w:endnote w:type="continuationNotice" w:id="1">
    <w:p w:rsidR="00A95021" w:rsidRDefault="00A950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9FA" w:rsidRDefault="00FA1BAD">
    <w:pPr>
      <w:pStyle w:val="Footer"/>
      <w:framePr w:wrap="around" w:vAnchor="text" w:hAnchor="margin" w:xAlign="right" w:y="1"/>
      <w:rPr>
        <w:rStyle w:val="PageNumber"/>
      </w:rPr>
    </w:pPr>
    <w:r>
      <w:rPr>
        <w:rStyle w:val="PageNumber"/>
      </w:rPr>
      <w:fldChar w:fldCharType="begin"/>
    </w:r>
    <w:r w:rsidR="00B969FA">
      <w:rPr>
        <w:rStyle w:val="PageNumber"/>
      </w:rPr>
      <w:instrText xml:space="preserve">PAGE  </w:instrText>
    </w:r>
    <w:r>
      <w:rPr>
        <w:rStyle w:val="PageNumber"/>
      </w:rPr>
      <w:fldChar w:fldCharType="end"/>
    </w:r>
  </w:p>
  <w:p w:rsidR="00B969FA" w:rsidRDefault="00B969F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9FA" w:rsidRDefault="00FA1BAD">
    <w:pPr>
      <w:pStyle w:val="Footer"/>
      <w:framePr w:wrap="around" w:vAnchor="text" w:hAnchor="margin" w:xAlign="right" w:y="1"/>
      <w:rPr>
        <w:rStyle w:val="PageNumber"/>
      </w:rPr>
    </w:pPr>
    <w:r>
      <w:rPr>
        <w:rStyle w:val="PageNumber"/>
      </w:rPr>
      <w:fldChar w:fldCharType="begin"/>
    </w:r>
    <w:r w:rsidR="00B969FA">
      <w:rPr>
        <w:rStyle w:val="PageNumber"/>
      </w:rPr>
      <w:instrText xml:space="preserve">PAGE  </w:instrText>
    </w:r>
    <w:r>
      <w:rPr>
        <w:rStyle w:val="PageNumber"/>
      </w:rPr>
      <w:fldChar w:fldCharType="separate"/>
    </w:r>
    <w:r w:rsidR="00BB27B9">
      <w:rPr>
        <w:rStyle w:val="PageNumber"/>
        <w:noProof/>
      </w:rPr>
      <w:t>5</w:t>
    </w:r>
    <w:r>
      <w:rPr>
        <w:rStyle w:val="PageNumber"/>
      </w:rPr>
      <w:fldChar w:fldCharType="end"/>
    </w:r>
  </w:p>
  <w:p w:rsidR="00B969FA" w:rsidRDefault="00B969FA" w:rsidP="003661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9FA" w:rsidRDefault="00B969FA">
    <w:pPr>
      <w:pStyle w:val="Footer"/>
    </w:pPr>
    <w:r>
      <w:t xml:space="preserve">Last revised </w:t>
    </w:r>
    <w:r w:rsidR="00A95021">
      <w:fldChar w:fldCharType="begin"/>
    </w:r>
    <w:r w:rsidR="00A95021">
      <w:instrText xml:space="preserve"> DATE \@ "M/d/yyyy" </w:instrText>
    </w:r>
    <w:r w:rsidR="00A95021">
      <w:fldChar w:fldCharType="separate"/>
    </w:r>
    <w:r w:rsidR="00BB27B9">
      <w:rPr>
        <w:noProof/>
      </w:rPr>
      <w:t>3/27/2013</w:t>
    </w:r>
    <w:r w:rsidR="00A95021">
      <w:rPr>
        <w:noProof/>
      </w:rPr>
      <w:fldChar w:fldCharType="end"/>
    </w:r>
    <w:r>
      <w:t xml:space="preserve"> </w:t>
    </w:r>
    <w:r w:rsidR="00A95021">
      <w:fldChar w:fldCharType="begin"/>
    </w:r>
    <w:r w:rsidR="00A95021">
      <w:instrText xml:space="preserve"> TIME \@ "h:mm:ss am/pm" </w:instrText>
    </w:r>
    <w:r w:rsidR="00A95021">
      <w:fldChar w:fldCharType="separate"/>
    </w:r>
    <w:r w:rsidR="00BB27B9">
      <w:rPr>
        <w:noProof/>
      </w:rPr>
      <w:t>10:51:52 AM</w:t>
    </w:r>
    <w:r w:rsidR="00A9502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9FA" w:rsidRDefault="00B969FA">
      <w:r>
        <w:separator/>
      </w:r>
    </w:p>
  </w:footnote>
  <w:footnote w:type="continuationSeparator" w:id="0">
    <w:p w:rsidR="00B969FA" w:rsidRDefault="00B969FA">
      <w:r>
        <w:continuationSeparator/>
      </w:r>
    </w:p>
  </w:footnote>
  <w:footnote w:type="continuationNotice" w:id="1">
    <w:p w:rsidR="00A95021" w:rsidRDefault="00A9502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021" w:rsidRDefault="00A950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E5F"/>
    <w:rsid w:val="00003B2B"/>
    <w:rsid w:val="00014CE3"/>
    <w:rsid w:val="0005297A"/>
    <w:rsid w:val="0006496C"/>
    <w:rsid w:val="000A18E0"/>
    <w:rsid w:val="000E25E9"/>
    <w:rsid w:val="000E5365"/>
    <w:rsid w:val="000F4F98"/>
    <w:rsid w:val="001952B6"/>
    <w:rsid w:val="00196019"/>
    <w:rsid w:val="001B6CE6"/>
    <w:rsid w:val="001D6134"/>
    <w:rsid w:val="00207463"/>
    <w:rsid w:val="00242D02"/>
    <w:rsid w:val="002A11B4"/>
    <w:rsid w:val="002C207A"/>
    <w:rsid w:val="002D3E76"/>
    <w:rsid w:val="002F743F"/>
    <w:rsid w:val="00355FCE"/>
    <w:rsid w:val="0036619E"/>
    <w:rsid w:val="003D3778"/>
    <w:rsid w:val="003F0671"/>
    <w:rsid w:val="00424656"/>
    <w:rsid w:val="004417FE"/>
    <w:rsid w:val="00477105"/>
    <w:rsid w:val="00484B30"/>
    <w:rsid w:val="00491E99"/>
    <w:rsid w:val="004E0C14"/>
    <w:rsid w:val="004E1BDD"/>
    <w:rsid w:val="004E3EA1"/>
    <w:rsid w:val="00530302"/>
    <w:rsid w:val="00534039"/>
    <w:rsid w:val="005A6D4A"/>
    <w:rsid w:val="005E08C3"/>
    <w:rsid w:val="006112F6"/>
    <w:rsid w:val="006163E3"/>
    <w:rsid w:val="006825FC"/>
    <w:rsid w:val="006B4468"/>
    <w:rsid w:val="006B50D2"/>
    <w:rsid w:val="00740A8F"/>
    <w:rsid w:val="00755942"/>
    <w:rsid w:val="00761721"/>
    <w:rsid w:val="007618A4"/>
    <w:rsid w:val="007D59DE"/>
    <w:rsid w:val="007E2018"/>
    <w:rsid w:val="007E7C5B"/>
    <w:rsid w:val="007F2D3A"/>
    <w:rsid w:val="00851E99"/>
    <w:rsid w:val="008640E6"/>
    <w:rsid w:val="00891302"/>
    <w:rsid w:val="00896434"/>
    <w:rsid w:val="008B0ECA"/>
    <w:rsid w:val="008F5F5B"/>
    <w:rsid w:val="00943F54"/>
    <w:rsid w:val="009A1A30"/>
    <w:rsid w:val="009A7FE7"/>
    <w:rsid w:val="009F7337"/>
    <w:rsid w:val="00A31ACD"/>
    <w:rsid w:val="00A6647C"/>
    <w:rsid w:val="00A922BA"/>
    <w:rsid w:val="00A95021"/>
    <w:rsid w:val="00AE2E66"/>
    <w:rsid w:val="00B15A9A"/>
    <w:rsid w:val="00B566D1"/>
    <w:rsid w:val="00B969FA"/>
    <w:rsid w:val="00BA163D"/>
    <w:rsid w:val="00BB27B9"/>
    <w:rsid w:val="00BB590E"/>
    <w:rsid w:val="00BD494A"/>
    <w:rsid w:val="00C12983"/>
    <w:rsid w:val="00C14547"/>
    <w:rsid w:val="00C16E9E"/>
    <w:rsid w:val="00C369A4"/>
    <w:rsid w:val="00C54EF9"/>
    <w:rsid w:val="00C848D1"/>
    <w:rsid w:val="00CF0D45"/>
    <w:rsid w:val="00D1160D"/>
    <w:rsid w:val="00D12BF8"/>
    <w:rsid w:val="00D14170"/>
    <w:rsid w:val="00D3045C"/>
    <w:rsid w:val="00D30CBE"/>
    <w:rsid w:val="00D73D7A"/>
    <w:rsid w:val="00DE1E6E"/>
    <w:rsid w:val="00E14930"/>
    <w:rsid w:val="00E264F0"/>
    <w:rsid w:val="00E2750E"/>
    <w:rsid w:val="00E35E39"/>
    <w:rsid w:val="00E9415C"/>
    <w:rsid w:val="00EC6CED"/>
    <w:rsid w:val="00ED2A10"/>
    <w:rsid w:val="00ED5087"/>
    <w:rsid w:val="00F13A0E"/>
    <w:rsid w:val="00F42E5F"/>
    <w:rsid w:val="00F7325E"/>
    <w:rsid w:val="00FA1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750E"/>
  </w:style>
  <w:style w:type="paragraph" w:styleId="Heading1">
    <w:name w:val="heading 1"/>
    <w:basedOn w:val="Normal"/>
    <w:next w:val="Normal"/>
    <w:qFormat/>
    <w:rsid w:val="00E2750E"/>
    <w:pPr>
      <w:keepNext/>
      <w:outlineLvl w:val="0"/>
    </w:pPr>
    <w:rPr>
      <w:sz w:val="24"/>
    </w:rPr>
  </w:style>
  <w:style w:type="paragraph" w:styleId="Heading2">
    <w:name w:val="heading 2"/>
    <w:basedOn w:val="Normal"/>
    <w:next w:val="Normal"/>
    <w:link w:val="Heading2Char"/>
    <w:qFormat/>
    <w:rsid w:val="00E2750E"/>
    <w:pPr>
      <w:keepNext/>
      <w:widowControl w:val="0"/>
      <w:outlineLvl w:val="1"/>
    </w:pPr>
    <w:rPr>
      <w:b/>
      <w:snapToGrid w:val="0"/>
      <w:sz w:val="24"/>
    </w:rPr>
  </w:style>
  <w:style w:type="paragraph" w:styleId="Heading4">
    <w:name w:val="heading 4"/>
    <w:basedOn w:val="Normal"/>
    <w:next w:val="Normal"/>
    <w:qFormat/>
    <w:rsid w:val="00E2750E"/>
    <w:pPr>
      <w:keepNext/>
      <w:widowControl w:val="0"/>
      <w:outlineLvl w:val="3"/>
    </w:pPr>
    <w:rPr>
      <w:b/>
      <w:snapToGrid w:val="0"/>
      <w:sz w:val="24"/>
      <w:u w:val="single"/>
    </w:rPr>
  </w:style>
  <w:style w:type="paragraph" w:styleId="Heading6">
    <w:name w:val="heading 6"/>
    <w:basedOn w:val="Normal"/>
    <w:next w:val="Normal"/>
    <w:qFormat/>
    <w:rsid w:val="00E2750E"/>
    <w:pPr>
      <w:keepNext/>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E2750E"/>
    <w:pPr>
      <w:jc w:val="center"/>
    </w:pPr>
    <w:rPr>
      <w:b/>
      <w:i/>
      <w:sz w:val="32"/>
    </w:rPr>
  </w:style>
  <w:style w:type="character" w:styleId="Hyperlink">
    <w:name w:val="Hyperlink"/>
    <w:basedOn w:val="DefaultParagraphFont"/>
    <w:rsid w:val="00E2750E"/>
    <w:rPr>
      <w:color w:val="0000FF"/>
      <w:u w:val="single"/>
    </w:rPr>
  </w:style>
  <w:style w:type="paragraph" w:styleId="Title">
    <w:name w:val="Title"/>
    <w:basedOn w:val="Normal"/>
    <w:qFormat/>
    <w:rsid w:val="00E2750E"/>
    <w:pPr>
      <w:jc w:val="center"/>
    </w:pPr>
    <w:rPr>
      <w:sz w:val="28"/>
    </w:rPr>
  </w:style>
  <w:style w:type="paragraph" w:styleId="BodyText">
    <w:name w:val="Body Text"/>
    <w:basedOn w:val="Normal"/>
    <w:rsid w:val="00E2750E"/>
    <w:rPr>
      <w:b/>
      <w:bCs/>
      <w:sz w:val="24"/>
      <w:u w:val="single"/>
    </w:rPr>
  </w:style>
  <w:style w:type="paragraph" w:styleId="BodyText3">
    <w:name w:val="Body Text 3"/>
    <w:basedOn w:val="Normal"/>
    <w:rsid w:val="00E2750E"/>
    <w:rPr>
      <w:sz w:val="24"/>
      <w:u w:val="single"/>
    </w:rPr>
  </w:style>
  <w:style w:type="paragraph" w:styleId="BodyTextIndent">
    <w:name w:val="Body Text Indent"/>
    <w:basedOn w:val="Normal"/>
    <w:rsid w:val="00E2750E"/>
    <w:pPr>
      <w:ind w:left="720"/>
    </w:pPr>
    <w:rPr>
      <w:sz w:val="24"/>
    </w:rPr>
  </w:style>
  <w:style w:type="paragraph" w:styleId="Footer">
    <w:name w:val="footer"/>
    <w:basedOn w:val="Normal"/>
    <w:rsid w:val="00E2750E"/>
    <w:pPr>
      <w:tabs>
        <w:tab w:val="center" w:pos="4320"/>
        <w:tab w:val="right" w:pos="8640"/>
      </w:tabs>
    </w:pPr>
  </w:style>
  <w:style w:type="character" w:styleId="PageNumber">
    <w:name w:val="page number"/>
    <w:basedOn w:val="DefaultParagraphFont"/>
    <w:rsid w:val="00E2750E"/>
  </w:style>
  <w:style w:type="paragraph" w:styleId="Header">
    <w:name w:val="header"/>
    <w:basedOn w:val="Normal"/>
    <w:rsid w:val="00F42E5F"/>
    <w:pPr>
      <w:tabs>
        <w:tab w:val="center" w:pos="4320"/>
        <w:tab w:val="right" w:pos="8640"/>
      </w:tabs>
    </w:pPr>
  </w:style>
  <w:style w:type="table" w:styleId="TableGrid">
    <w:name w:val="Table Grid"/>
    <w:basedOn w:val="TableNormal"/>
    <w:uiPriority w:val="59"/>
    <w:rsid w:val="00F13A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14CE3"/>
    <w:rPr>
      <w:rFonts w:ascii="Tahoma" w:hAnsi="Tahoma" w:cs="Tahoma"/>
      <w:sz w:val="16"/>
      <w:szCs w:val="16"/>
    </w:rPr>
  </w:style>
  <w:style w:type="character" w:customStyle="1" w:styleId="BalloonTextChar">
    <w:name w:val="Balloon Text Char"/>
    <w:basedOn w:val="DefaultParagraphFont"/>
    <w:link w:val="BalloonText"/>
    <w:rsid w:val="00014CE3"/>
    <w:rPr>
      <w:rFonts w:ascii="Tahoma" w:hAnsi="Tahoma" w:cs="Tahoma"/>
      <w:sz w:val="16"/>
      <w:szCs w:val="16"/>
    </w:rPr>
  </w:style>
  <w:style w:type="character" w:styleId="FollowedHyperlink">
    <w:name w:val="FollowedHyperlink"/>
    <w:basedOn w:val="DefaultParagraphFont"/>
    <w:rsid w:val="00424656"/>
    <w:rPr>
      <w:color w:val="800080"/>
      <w:u w:val="single"/>
    </w:rPr>
  </w:style>
  <w:style w:type="character" w:customStyle="1" w:styleId="Heading2Char">
    <w:name w:val="Heading 2 Char"/>
    <w:basedOn w:val="DefaultParagraphFont"/>
    <w:link w:val="Heading2"/>
    <w:rsid w:val="00CF0D45"/>
    <w:rPr>
      <w:b/>
      <w:snapToGrid w:val="0"/>
      <w:sz w:val="24"/>
    </w:rPr>
  </w:style>
  <w:style w:type="paragraph" w:styleId="Revision">
    <w:name w:val="Revision"/>
    <w:hidden/>
    <w:uiPriority w:val="99"/>
    <w:semiHidden/>
    <w:rsid w:val="00A950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750E"/>
  </w:style>
  <w:style w:type="paragraph" w:styleId="Heading1">
    <w:name w:val="heading 1"/>
    <w:basedOn w:val="Normal"/>
    <w:next w:val="Normal"/>
    <w:qFormat/>
    <w:rsid w:val="00E2750E"/>
    <w:pPr>
      <w:keepNext/>
      <w:outlineLvl w:val="0"/>
    </w:pPr>
    <w:rPr>
      <w:sz w:val="24"/>
    </w:rPr>
  </w:style>
  <w:style w:type="paragraph" w:styleId="Heading2">
    <w:name w:val="heading 2"/>
    <w:basedOn w:val="Normal"/>
    <w:next w:val="Normal"/>
    <w:link w:val="Heading2Char"/>
    <w:qFormat/>
    <w:rsid w:val="00E2750E"/>
    <w:pPr>
      <w:keepNext/>
      <w:widowControl w:val="0"/>
      <w:outlineLvl w:val="1"/>
    </w:pPr>
    <w:rPr>
      <w:b/>
      <w:snapToGrid w:val="0"/>
      <w:sz w:val="24"/>
    </w:rPr>
  </w:style>
  <w:style w:type="paragraph" w:styleId="Heading4">
    <w:name w:val="heading 4"/>
    <w:basedOn w:val="Normal"/>
    <w:next w:val="Normal"/>
    <w:qFormat/>
    <w:rsid w:val="00E2750E"/>
    <w:pPr>
      <w:keepNext/>
      <w:widowControl w:val="0"/>
      <w:outlineLvl w:val="3"/>
    </w:pPr>
    <w:rPr>
      <w:b/>
      <w:snapToGrid w:val="0"/>
      <w:sz w:val="24"/>
      <w:u w:val="single"/>
    </w:rPr>
  </w:style>
  <w:style w:type="paragraph" w:styleId="Heading6">
    <w:name w:val="heading 6"/>
    <w:basedOn w:val="Normal"/>
    <w:next w:val="Normal"/>
    <w:qFormat/>
    <w:rsid w:val="00E2750E"/>
    <w:pPr>
      <w:keepNext/>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E2750E"/>
    <w:pPr>
      <w:jc w:val="center"/>
    </w:pPr>
    <w:rPr>
      <w:b/>
      <w:i/>
      <w:sz w:val="32"/>
    </w:rPr>
  </w:style>
  <w:style w:type="character" w:styleId="Hyperlink">
    <w:name w:val="Hyperlink"/>
    <w:basedOn w:val="DefaultParagraphFont"/>
    <w:rsid w:val="00E2750E"/>
    <w:rPr>
      <w:color w:val="0000FF"/>
      <w:u w:val="single"/>
    </w:rPr>
  </w:style>
  <w:style w:type="paragraph" w:styleId="Title">
    <w:name w:val="Title"/>
    <w:basedOn w:val="Normal"/>
    <w:qFormat/>
    <w:rsid w:val="00E2750E"/>
    <w:pPr>
      <w:jc w:val="center"/>
    </w:pPr>
    <w:rPr>
      <w:sz w:val="28"/>
    </w:rPr>
  </w:style>
  <w:style w:type="paragraph" w:styleId="BodyText">
    <w:name w:val="Body Text"/>
    <w:basedOn w:val="Normal"/>
    <w:rsid w:val="00E2750E"/>
    <w:rPr>
      <w:b/>
      <w:bCs/>
      <w:sz w:val="24"/>
      <w:u w:val="single"/>
    </w:rPr>
  </w:style>
  <w:style w:type="paragraph" w:styleId="BodyText3">
    <w:name w:val="Body Text 3"/>
    <w:basedOn w:val="Normal"/>
    <w:rsid w:val="00E2750E"/>
    <w:rPr>
      <w:sz w:val="24"/>
      <w:u w:val="single"/>
    </w:rPr>
  </w:style>
  <w:style w:type="paragraph" w:styleId="BodyTextIndent">
    <w:name w:val="Body Text Indent"/>
    <w:basedOn w:val="Normal"/>
    <w:rsid w:val="00E2750E"/>
    <w:pPr>
      <w:ind w:left="720"/>
    </w:pPr>
    <w:rPr>
      <w:sz w:val="24"/>
    </w:rPr>
  </w:style>
  <w:style w:type="paragraph" w:styleId="Footer">
    <w:name w:val="footer"/>
    <w:basedOn w:val="Normal"/>
    <w:rsid w:val="00E2750E"/>
    <w:pPr>
      <w:tabs>
        <w:tab w:val="center" w:pos="4320"/>
        <w:tab w:val="right" w:pos="8640"/>
      </w:tabs>
    </w:pPr>
  </w:style>
  <w:style w:type="character" w:styleId="PageNumber">
    <w:name w:val="page number"/>
    <w:basedOn w:val="DefaultParagraphFont"/>
    <w:rsid w:val="00E2750E"/>
  </w:style>
  <w:style w:type="paragraph" w:styleId="Header">
    <w:name w:val="header"/>
    <w:basedOn w:val="Normal"/>
    <w:rsid w:val="00F42E5F"/>
    <w:pPr>
      <w:tabs>
        <w:tab w:val="center" w:pos="4320"/>
        <w:tab w:val="right" w:pos="8640"/>
      </w:tabs>
    </w:pPr>
  </w:style>
  <w:style w:type="table" w:styleId="TableGrid">
    <w:name w:val="Table Grid"/>
    <w:basedOn w:val="TableNormal"/>
    <w:uiPriority w:val="59"/>
    <w:rsid w:val="00F13A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14CE3"/>
    <w:rPr>
      <w:rFonts w:ascii="Tahoma" w:hAnsi="Tahoma" w:cs="Tahoma"/>
      <w:sz w:val="16"/>
      <w:szCs w:val="16"/>
    </w:rPr>
  </w:style>
  <w:style w:type="character" w:customStyle="1" w:styleId="BalloonTextChar">
    <w:name w:val="Balloon Text Char"/>
    <w:basedOn w:val="DefaultParagraphFont"/>
    <w:link w:val="BalloonText"/>
    <w:rsid w:val="00014CE3"/>
    <w:rPr>
      <w:rFonts w:ascii="Tahoma" w:hAnsi="Tahoma" w:cs="Tahoma"/>
      <w:sz w:val="16"/>
      <w:szCs w:val="16"/>
    </w:rPr>
  </w:style>
  <w:style w:type="character" w:styleId="FollowedHyperlink">
    <w:name w:val="FollowedHyperlink"/>
    <w:basedOn w:val="DefaultParagraphFont"/>
    <w:rsid w:val="00424656"/>
    <w:rPr>
      <w:color w:val="800080"/>
      <w:u w:val="single"/>
    </w:rPr>
  </w:style>
  <w:style w:type="character" w:customStyle="1" w:styleId="Heading2Char">
    <w:name w:val="Heading 2 Char"/>
    <w:basedOn w:val="DefaultParagraphFont"/>
    <w:link w:val="Heading2"/>
    <w:rsid w:val="00CF0D45"/>
    <w:rPr>
      <w:b/>
      <w:snapToGrid w:val="0"/>
      <w:sz w:val="24"/>
    </w:rPr>
  </w:style>
  <w:style w:type="paragraph" w:styleId="Revision">
    <w:name w:val="Revision"/>
    <w:hidden/>
    <w:uiPriority w:val="99"/>
    <w:semiHidden/>
    <w:rsid w:val="00A95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68040">
      <w:bodyDiv w:val="1"/>
      <w:marLeft w:val="0"/>
      <w:marRight w:val="0"/>
      <w:marTop w:val="0"/>
      <w:marBottom w:val="0"/>
      <w:divBdr>
        <w:top w:val="none" w:sz="0" w:space="0" w:color="auto"/>
        <w:left w:val="none" w:sz="0" w:space="0" w:color="auto"/>
        <w:bottom w:val="none" w:sz="0" w:space="0" w:color="auto"/>
        <w:right w:val="none" w:sz="0" w:space="0" w:color="auto"/>
      </w:divBdr>
    </w:div>
    <w:div w:id="221138381">
      <w:bodyDiv w:val="1"/>
      <w:marLeft w:val="0"/>
      <w:marRight w:val="0"/>
      <w:marTop w:val="0"/>
      <w:marBottom w:val="0"/>
      <w:divBdr>
        <w:top w:val="none" w:sz="0" w:space="0" w:color="auto"/>
        <w:left w:val="none" w:sz="0" w:space="0" w:color="auto"/>
        <w:bottom w:val="none" w:sz="0" w:space="0" w:color="auto"/>
        <w:right w:val="none" w:sz="0" w:space="0" w:color="auto"/>
      </w:divBdr>
    </w:div>
    <w:div w:id="640118739">
      <w:bodyDiv w:val="1"/>
      <w:marLeft w:val="0"/>
      <w:marRight w:val="0"/>
      <w:marTop w:val="0"/>
      <w:marBottom w:val="0"/>
      <w:divBdr>
        <w:top w:val="none" w:sz="0" w:space="0" w:color="auto"/>
        <w:left w:val="none" w:sz="0" w:space="0" w:color="auto"/>
        <w:bottom w:val="none" w:sz="0" w:space="0" w:color="auto"/>
        <w:right w:val="none" w:sz="0" w:space="0" w:color="auto"/>
      </w:divBdr>
    </w:div>
    <w:div w:id="1448694296">
      <w:bodyDiv w:val="1"/>
      <w:marLeft w:val="0"/>
      <w:marRight w:val="0"/>
      <w:marTop w:val="0"/>
      <w:marBottom w:val="0"/>
      <w:divBdr>
        <w:top w:val="none" w:sz="0" w:space="0" w:color="auto"/>
        <w:left w:val="none" w:sz="0" w:space="0" w:color="auto"/>
        <w:bottom w:val="none" w:sz="0" w:space="0" w:color="auto"/>
        <w:right w:val="none" w:sz="0" w:space="0" w:color="auto"/>
      </w:divBdr>
    </w:div>
    <w:div w:id="1935044329">
      <w:bodyDiv w:val="1"/>
      <w:marLeft w:val="0"/>
      <w:marRight w:val="0"/>
      <w:marTop w:val="0"/>
      <w:marBottom w:val="0"/>
      <w:divBdr>
        <w:top w:val="none" w:sz="0" w:space="0" w:color="auto"/>
        <w:left w:val="none" w:sz="0" w:space="0" w:color="auto"/>
        <w:bottom w:val="none" w:sz="0" w:space="0" w:color="auto"/>
        <w:right w:val="none" w:sz="0" w:space="0" w:color="auto"/>
      </w:divBdr>
    </w:div>
    <w:div w:id="1966886088">
      <w:bodyDiv w:val="1"/>
      <w:marLeft w:val="0"/>
      <w:marRight w:val="0"/>
      <w:marTop w:val="0"/>
      <w:marBottom w:val="0"/>
      <w:divBdr>
        <w:top w:val="none" w:sz="0" w:space="0" w:color="auto"/>
        <w:left w:val="none" w:sz="0" w:space="0" w:color="auto"/>
        <w:bottom w:val="none" w:sz="0" w:space="0" w:color="auto"/>
        <w:right w:val="none" w:sz="0" w:space="0" w:color="auto"/>
      </w:divBdr>
    </w:div>
    <w:div w:id="202640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ookstore.gpo.gov/collections/ori-research.jsp" TargetMode="External"/><Relationship Id="rId13" Type="http://schemas.openxmlformats.org/officeDocument/2006/relationships/hyperlink" Target="http://www.dso.ufl.edu/"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so.ufl.edu/judicial/procedures/academicguide.php"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rugabuse.gov/mentoringguide/" TargetMode="External"/><Relationship Id="rId5" Type="http://schemas.openxmlformats.org/officeDocument/2006/relationships/webSettings" Target="webSettings.xml"/><Relationship Id="rId15" Type="http://schemas.openxmlformats.org/officeDocument/2006/relationships/hyperlink" Target="http://www.health.ufl.edu/shcc" TargetMode="External"/><Relationship Id="rId10" Type="http://schemas.openxmlformats.org/officeDocument/2006/relationships/hyperlink" Target="http://www.acepidemiology.org/policystmts/EthicsGuide.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registrar.ufl.edu/catalog/policies/regulationgrades.html" TargetMode="External"/><Relationship Id="rId14" Type="http://schemas.openxmlformats.org/officeDocument/2006/relationships/hyperlink" Target="http://www.counseling.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22659-87C4-4B2E-93A7-8204D8A54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1605</Words>
  <Characters>9153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SAMPLE COURSE SYLLABUS</vt:lpstr>
    </vt:vector>
  </TitlesOfParts>
  <Company>College of Health Professions</Company>
  <LinksUpToDate>false</LinksUpToDate>
  <CharactersWithSpaces>10737</CharactersWithSpaces>
  <SharedDoc>false</SharedDoc>
  <HLinks>
    <vt:vector size="30" baseType="variant">
      <vt:variant>
        <vt:i4>7340072</vt:i4>
      </vt:variant>
      <vt:variant>
        <vt:i4>12</vt:i4>
      </vt:variant>
      <vt:variant>
        <vt:i4>0</vt:i4>
      </vt:variant>
      <vt:variant>
        <vt:i4>5</vt:i4>
      </vt:variant>
      <vt:variant>
        <vt:lpwstr>http://www.health.ufl.edu/shcc</vt:lpwstr>
      </vt:variant>
      <vt:variant>
        <vt:lpwstr/>
      </vt:variant>
      <vt:variant>
        <vt:i4>6357043</vt:i4>
      </vt:variant>
      <vt:variant>
        <vt:i4>9</vt:i4>
      </vt:variant>
      <vt:variant>
        <vt:i4>0</vt:i4>
      </vt:variant>
      <vt:variant>
        <vt:i4>5</vt:i4>
      </vt:variant>
      <vt:variant>
        <vt:lpwstr>http://www.counseling.ufl.edu/</vt:lpwstr>
      </vt:variant>
      <vt:variant>
        <vt:lpwstr/>
      </vt:variant>
      <vt:variant>
        <vt:i4>2687009</vt:i4>
      </vt:variant>
      <vt:variant>
        <vt:i4>6</vt:i4>
      </vt:variant>
      <vt:variant>
        <vt:i4>0</vt:i4>
      </vt:variant>
      <vt:variant>
        <vt:i4>5</vt:i4>
      </vt:variant>
      <vt:variant>
        <vt:lpwstr>http://www.dso.ufl.edu/</vt:lpwstr>
      </vt:variant>
      <vt:variant>
        <vt:lpwstr/>
      </vt:variant>
      <vt:variant>
        <vt:i4>1638412</vt:i4>
      </vt:variant>
      <vt:variant>
        <vt:i4>3</vt:i4>
      </vt:variant>
      <vt:variant>
        <vt:i4>0</vt:i4>
      </vt:variant>
      <vt:variant>
        <vt:i4>5</vt:i4>
      </vt:variant>
      <vt:variant>
        <vt:lpwstr>http://www.dso.ufl.edu/judicial/procedures/academicguide.php</vt:lpwstr>
      </vt:variant>
      <vt:variant>
        <vt:lpwstr/>
      </vt:variant>
      <vt:variant>
        <vt:i4>8061027</vt:i4>
      </vt:variant>
      <vt:variant>
        <vt:i4>0</vt:i4>
      </vt:variant>
      <vt:variant>
        <vt:i4>0</vt:i4>
      </vt:variant>
      <vt:variant>
        <vt:i4>5</vt:i4>
      </vt:variant>
      <vt:variant>
        <vt:lpwstr>http://www.registrar.ufl.edu/catalog/policies/regulationgrades.html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COURSE SYLLABUS</dc:title>
  <dc:creator>clemak</dc:creator>
  <cp:lastModifiedBy>acondell</cp:lastModifiedBy>
  <cp:revision>2</cp:revision>
  <cp:lastPrinted>2011-03-23T19:24:00Z</cp:lastPrinted>
  <dcterms:created xsi:type="dcterms:W3CDTF">2013-03-27T14:52:00Z</dcterms:created>
  <dcterms:modified xsi:type="dcterms:W3CDTF">2013-03-27T14:52:00Z</dcterms:modified>
</cp:coreProperties>
</file>