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1B" w:rsidRPr="00F94851" w:rsidRDefault="00EE0F1B" w:rsidP="00EE0F1B">
      <w:pPr>
        <w:jc w:val="center"/>
        <w:rPr>
          <w:b/>
        </w:rPr>
      </w:pPr>
      <w:r w:rsidRPr="00F94851">
        <w:rPr>
          <w:b/>
        </w:rPr>
        <w:t xml:space="preserve">University of </w:t>
      </w:r>
      <w:smartTag w:uri="urn:schemas-microsoft-com:office:smarttags" w:element="PlaceName">
        <w:r w:rsidRPr="00F94851">
          <w:rPr>
            <w:b/>
          </w:rPr>
          <w:t>Florida</w:t>
        </w:r>
      </w:smartTag>
      <w:r w:rsidRPr="00F94851">
        <w:rPr>
          <w:b/>
        </w:rPr>
        <w:t xml:space="preserve"> </w:t>
      </w:r>
    </w:p>
    <w:p w:rsidR="00EE0F1B" w:rsidRPr="00A72630" w:rsidRDefault="00EE0F1B" w:rsidP="00EE0F1B">
      <w:pPr>
        <w:jc w:val="center"/>
        <w:rPr>
          <w:b/>
        </w:rPr>
      </w:pPr>
      <w:r w:rsidRPr="00A72630">
        <w:rPr>
          <w:b/>
        </w:rPr>
        <w:t>Colleges of Medicine and Public Health &amp; Health Professions</w:t>
      </w:r>
    </w:p>
    <w:p w:rsidR="00EE0F1B" w:rsidRPr="00F94851" w:rsidRDefault="00EE0F1B" w:rsidP="00EE0F1B">
      <w:pPr>
        <w:jc w:val="center"/>
        <w:rPr>
          <w:b/>
        </w:rPr>
      </w:pPr>
      <w:r w:rsidRPr="00F94851">
        <w:rPr>
          <w:b/>
        </w:rPr>
        <w:t xml:space="preserve">Department of </w:t>
      </w:r>
      <w:r>
        <w:rPr>
          <w:b/>
        </w:rPr>
        <w:t>Biostatistics</w:t>
      </w:r>
    </w:p>
    <w:p w:rsidR="00EE0F1B" w:rsidRPr="00F94851" w:rsidRDefault="00EE0F1B" w:rsidP="00EE0F1B">
      <w:pPr>
        <w:jc w:val="center"/>
        <w:rPr>
          <w:b/>
        </w:rPr>
      </w:pPr>
    </w:p>
    <w:p w:rsidR="00EE0F1B" w:rsidRDefault="00EE0F1B" w:rsidP="00EE0F1B">
      <w:pPr>
        <w:jc w:val="center"/>
        <w:rPr>
          <w:b/>
        </w:rPr>
      </w:pPr>
      <w:r>
        <w:rPr>
          <w:b/>
        </w:rPr>
        <w:t xml:space="preserve">GMS 6818 - </w:t>
      </w:r>
      <w:r w:rsidRPr="006024D6">
        <w:rPr>
          <w:b/>
        </w:rPr>
        <w:t>Design and Conduct of Clinical Trials</w:t>
      </w:r>
      <w:r>
        <w:rPr>
          <w:b/>
        </w:rPr>
        <w:t xml:space="preserve"> I</w:t>
      </w:r>
    </w:p>
    <w:p w:rsidR="00EE0F1B" w:rsidRPr="006024D6" w:rsidRDefault="00EE0F1B" w:rsidP="00EE0F1B">
      <w:pPr>
        <w:jc w:val="center"/>
        <w:rPr>
          <w:b/>
        </w:rPr>
      </w:pPr>
      <w:r>
        <w:rPr>
          <w:b/>
        </w:rPr>
        <w:t>Spring 2013</w:t>
      </w:r>
    </w:p>
    <w:p w:rsidR="00EE0F1B" w:rsidRPr="00F94851" w:rsidRDefault="00EE0F1B" w:rsidP="00EE0F1B"/>
    <w:p w:rsidR="00EE0F1B" w:rsidRPr="00F94851" w:rsidRDefault="00EE0F1B" w:rsidP="00EE0F1B">
      <w:r w:rsidRPr="00F94851">
        <w:t>Time:</w:t>
      </w:r>
      <w:r w:rsidRPr="00F94851">
        <w:tab/>
      </w:r>
      <w:r w:rsidRPr="00F94851">
        <w:tab/>
      </w:r>
      <w:r>
        <w:t>Wednesdays, 2–4pm</w:t>
      </w:r>
    </w:p>
    <w:p w:rsidR="00EE0F1B" w:rsidRPr="00F94851" w:rsidRDefault="00EE0F1B" w:rsidP="00EE0F1B"/>
    <w:p w:rsidR="00EE0F1B" w:rsidRPr="00F94851" w:rsidRDefault="00EE0F1B" w:rsidP="00EE0F1B">
      <w:r w:rsidRPr="00F94851">
        <w:t>Location:</w:t>
      </w:r>
      <w:r w:rsidRPr="00F94851">
        <w:tab/>
      </w:r>
      <w:r>
        <w:t>McKnight Brain Institute (MBI) L3-101</w:t>
      </w:r>
    </w:p>
    <w:p w:rsidR="00EE0F1B" w:rsidRPr="00F94851" w:rsidRDefault="00EE0F1B" w:rsidP="00EE0F1B"/>
    <w:p w:rsidR="00EE0F1B" w:rsidRPr="00F94851" w:rsidRDefault="00EE0F1B" w:rsidP="00EE0F1B">
      <w:r w:rsidRPr="00F94851">
        <w:t>Credits:</w:t>
      </w:r>
      <w:r w:rsidRPr="00F94851">
        <w:tab/>
        <w:t>2</w:t>
      </w:r>
      <w:r>
        <w:t xml:space="preserve"> credits </w:t>
      </w:r>
      <w:r w:rsidRPr="00F94851">
        <w:t>(</w:t>
      </w:r>
      <w:r>
        <w:t>one 2-hour session</w:t>
      </w:r>
      <w:r w:rsidRPr="00F94851">
        <w:t xml:space="preserve"> per week for </w:t>
      </w:r>
      <w:r>
        <w:t>15</w:t>
      </w:r>
      <w:r w:rsidRPr="00F94851">
        <w:t xml:space="preserve"> weeks)</w:t>
      </w:r>
    </w:p>
    <w:p w:rsidR="00EE0F1B" w:rsidRPr="00F94851" w:rsidRDefault="00EE0F1B" w:rsidP="00EE0F1B"/>
    <w:p w:rsidR="00EE0F1B" w:rsidRDefault="00EE0F1B" w:rsidP="00EE0F1B">
      <w:r>
        <w:t>Instructors:</w:t>
      </w:r>
      <w:r>
        <w:tab/>
        <w:t>Meenakshi Devidas, PhD, Research Associate Professor (</w:t>
      </w:r>
      <w:hyperlink r:id="rId6" w:history="1">
        <w:r w:rsidRPr="00D62864">
          <w:rPr>
            <w:rStyle w:val="Hyperlink"/>
          </w:rPr>
          <w:t>mdevidas@cog.ufl.edu</w:t>
        </w:r>
      </w:hyperlink>
      <w:r>
        <w:t>)</w:t>
      </w:r>
    </w:p>
    <w:p w:rsidR="00EE0F1B" w:rsidRDefault="00EE0F1B" w:rsidP="00EE0F1B">
      <w:r>
        <w:tab/>
      </w:r>
      <w:r>
        <w:tab/>
        <w:t>Tamekia Jones, PhD, Research Assistant Professor (</w:t>
      </w:r>
      <w:hyperlink r:id="rId7" w:history="1">
        <w:r w:rsidRPr="00D62864">
          <w:rPr>
            <w:rStyle w:val="Hyperlink"/>
          </w:rPr>
          <w:t>tjones@cog.ufl.edu</w:t>
        </w:r>
      </w:hyperlink>
      <w:r>
        <w:t>)</w:t>
      </w:r>
    </w:p>
    <w:p w:rsidR="00EE0F1B" w:rsidRDefault="00EE0F1B" w:rsidP="00EE0F1B">
      <w:r>
        <w:tab/>
      </w:r>
      <w:r>
        <w:tab/>
        <w:t>Arlene Naranjo, PhD, Research Assistant Professor (</w:t>
      </w:r>
      <w:hyperlink r:id="rId8" w:history="1">
        <w:r w:rsidRPr="00D62864">
          <w:rPr>
            <w:rStyle w:val="Hyperlink"/>
          </w:rPr>
          <w:t>anaranjo@cog.ufl.edu</w:t>
        </w:r>
      </w:hyperlink>
      <w:r>
        <w:t>)</w:t>
      </w:r>
    </w:p>
    <w:p w:rsidR="00EE0F1B" w:rsidRPr="00531ADD" w:rsidRDefault="00EE0F1B" w:rsidP="00EE0F1B">
      <w:r>
        <w:tab/>
      </w:r>
      <w:r>
        <w:tab/>
      </w:r>
      <w:r w:rsidRPr="00531ADD">
        <w:t>6011 NW 1st Place</w:t>
      </w:r>
    </w:p>
    <w:p w:rsidR="00EE0F1B" w:rsidRDefault="00EE0F1B" w:rsidP="00EE0F1B">
      <w:r w:rsidRPr="00531ADD">
        <w:tab/>
      </w:r>
      <w:r w:rsidRPr="00531ADD">
        <w:tab/>
        <w:t>Gainesville, FL 32607</w:t>
      </w:r>
      <w:r>
        <w:t xml:space="preserve"> </w:t>
      </w:r>
    </w:p>
    <w:p w:rsidR="00EE0F1B" w:rsidRPr="00F94851" w:rsidRDefault="00EE0F1B" w:rsidP="00EE0F1B">
      <w:r w:rsidRPr="00F94851">
        <w:tab/>
      </w:r>
      <w:r w:rsidRPr="00F94851">
        <w:tab/>
      </w:r>
      <w:r w:rsidRPr="00F94851">
        <w:tab/>
      </w:r>
      <w:r w:rsidRPr="00F94851">
        <w:tab/>
      </w:r>
    </w:p>
    <w:p w:rsidR="00EE0F1B" w:rsidRPr="00F94851" w:rsidRDefault="00EE0F1B" w:rsidP="00EE0F1B">
      <w:r w:rsidRPr="00F94851">
        <w:t>Office</w:t>
      </w:r>
      <w:r>
        <w:t xml:space="preserve"> Hours:</w:t>
      </w:r>
      <w:r>
        <w:tab/>
        <w:t>By appointment</w:t>
      </w:r>
    </w:p>
    <w:p w:rsidR="00EE0F1B" w:rsidRDefault="00EE0F1B" w:rsidP="00EE0F1B"/>
    <w:p w:rsidR="00744F2A" w:rsidRDefault="00744F2A" w:rsidP="00744F2A">
      <w:r w:rsidRPr="00F94851">
        <w:rPr>
          <w:b/>
        </w:rPr>
        <w:t>COURSE DESCRIPTION</w:t>
      </w:r>
    </w:p>
    <w:p w:rsidR="00E94C30" w:rsidRDefault="008C4EF4" w:rsidP="00E94C30">
      <w:r>
        <w:t xml:space="preserve">The sequence of courses, </w:t>
      </w:r>
      <w:r w:rsidRPr="008C4EF4">
        <w:t>Design and Conduct of Clinical Trials I</w:t>
      </w:r>
      <w:r>
        <w:t>,</w:t>
      </w:r>
      <w:r w:rsidRPr="008C4EF4">
        <w:t xml:space="preserve"> and Design and Conduct of Clinical Trials</w:t>
      </w:r>
      <w:r>
        <w:t xml:space="preserve"> </w:t>
      </w:r>
      <w:r w:rsidRPr="008C4EF4">
        <w:t>II</w:t>
      </w:r>
      <w:r>
        <w:t>,</w:t>
      </w:r>
      <w:r w:rsidRPr="008C4EF4">
        <w:t xml:space="preserve"> </w:t>
      </w:r>
      <w:r>
        <w:t xml:space="preserve">is designed with the intent that the </w:t>
      </w:r>
      <w:r w:rsidR="0091521B">
        <w:t>student takes</w:t>
      </w:r>
      <w:r>
        <w:t xml:space="preserve"> both classes.  </w:t>
      </w:r>
      <w:r w:rsidR="00AB4BAF">
        <w:t xml:space="preserve">In </w:t>
      </w:r>
      <w:r w:rsidRPr="008C4EF4">
        <w:t>Design and Conduct of Clinical Trials I</w:t>
      </w:r>
      <w:r w:rsidR="00AB4BAF">
        <w:t>, the student will learn the ethics, principles and conduct of clinical trials for medical resea</w:t>
      </w:r>
      <w:r w:rsidR="00982FE8">
        <w:t>rch.  The protection of study participants</w:t>
      </w:r>
      <w:r w:rsidR="00AB4BAF">
        <w:t xml:space="preserve"> and the need for equipoise will be covered, including regulatory restrictions and the latest patient privacy</w:t>
      </w:r>
      <w:r w:rsidR="003A769C">
        <w:t xml:space="preserve"> regulations for the dissemination and use of data associated with the participants in clinical trials.  Various study designs will be discussed, including single-arm, crossover, factorial, sequential multi-stage, and dose-finding designs, plus the means to allocate study participants to appropriate treatment groups using randomization (blocked or stratified) and prognostic factors.  The importance </w:t>
      </w:r>
      <w:r w:rsidR="00222399">
        <w:t>of equipoise, informed consent</w:t>
      </w:r>
      <w:r w:rsidR="003A769C">
        <w:t xml:space="preserve">, and the use of intent-to-treat analysis will be emphasized.  Data </w:t>
      </w:r>
      <w:r w:rsidR="00222399">
        <w:t xml:space="preserve">collection and </w:t>
      </w:r>
      <w:r w:rsidR="003A769C">
        <w:t xml:space="preserve">management for the conduct of clinical trials will be briefly addressed.  The roles of </w:t>
      </w:r>
      <w:r w:rsidR="00851BEF">
        <w:t>the Institutional</w:t>
      </w:r>
      <w:r w:rsidR="003A769C">
        <w:t xml:space="preserve"> Review Board (IRB)</w:t>
      </w:r>
      <w:r w:rsidR="00851BEF">
        <w:t>, Data Monitoring Committee (DMC), and federal regulatory agencies in the approval and review of ongoing clinical trials will be discussed.</w:t>
      </w:r>
      <w:r w:rsidR="00E94C30">
        <w:t xml:space="preserve">  Homework assignments will be extremely applied, and will make use of real clinical trials</w:t>
      </w:r>
      <w:r w:rsidR="003C6883" w:rsidRPr="003C6883">
        <w:t xml:space="preserve"> </w:t>
      </w:r>
      <w:r w:rsidR="003C6883">
        <w:t>designs and data</w:t>
      </w:r>
      <w:r w:rsidR="00E94C30">
        <w:t>.</w:t>
      </w:r>
    </w:p>
    <w:p w:rsidR="00744F2A" w:rsidRDefault="00744F2A" w:rsidP="00E94C30"/>
    <w:p w:rsidR="00744F2A" w:rsidRDefault="00744F2A" w:rsidP="00744F2A">
      <w:r w:rsidRPr="00F94851">
        <w:rPr>
          <w:b/>
        </w:rPr>
        <w:t>COURSE OBJECTIVES</w:t>
      </w:r>
    </w:p>
    <w:p w:rsidR="00744F2A" w:rsidRDefault="00744F2A" w:rsidP="00744F2A">
      <w:r w:rsidRPr="00F94851">
        <w:t>By the end of this course, th</w:t>
      </w:r>
      <w:r>
        <w:t xml:space="preserve">e student should be able to: </w:t>
      </w:r>
    </w:p>
    <w:p w:rsidR="00744F2A" w:rsidRDefault="00744F2A" w:rsidP="00744F2A">
      <w:pPr>
        <w:numPr>
          <w:ilvl w:val="0"/>
          <w:numId w:val="4"/>
        </w:numPr>
      </w:pPr>
      <w:r>
        <w:t>Explain key concepts in the design of clinical trials.</w:t>
      </w:r>
    </w:p>
    <w:p w:rsidR="00744F2A" w:rsidRDefault="00744F2A" w:rsidP="00F24E68">
      <w:pPr>
        <w:numPr>
          <w:ilvl w:val="0"/>
          <w:numId w:val="4"/>
        </w:numPr>
      </w:pPr>
      <w:r>
        <w:t xml:space="preserve">Describe </w:t>
      </w:r>
      <w:r w:rsidR="00F24E68">
        <w:t>the study designs commonly used</w:t>
      </w:r>
      <w:r>
        <w:t xml:space="preserve">.  </w:t>
      </w:r>
    </w:p>
    <w:p w:rsidR="00F24E68" w:rsidRDefault="00F24E68" w:rsidP="00F24E68">
      <w:pPr>
        <w:numPr>
          <w:ilvl w:val="0"/>
          <w:numId w:val="4"/>
        </w:numPr>
      </w:pPr>
      <w:r>
        <w:t xml:space="preserve">Identify key issues in data management for clinical trials. </w:t>
      </w:r>
    </w:p>
    <w:p w:rsidR="00744F2A" w:rsidRDefault="00744F2A" w:rsidP="00744F2A">
      <w:pPr>
        <w:numPr>
          <w:ilvl w:val="0"/>
          <w:numId w:val="4"/>
        </w:numPr>
      </w:pPr>
      <w:r>
        <w:t xml:space="preserve">Describe the roles of </w:t>
      </w:r>
      <w:r w:rsidR="00F24E68">
        <w:t>Regulatory Affairs</w:t>
      </w:r>
      <w:r>
        <w:t xml:space="preserve"> in clinical trials.</w:t>
      </w:r>
      <w:r w:rsidR="008239C8">
        <w:br/>
      </w:r>
    </w:p>
    <w:p w:rsidR="00744F2A" w:rsidRDefault="00744F2A" w:rsidP="00744F2A">
      <w:pPr>
        <w:rPr>
          <w:b/>
        </w:rPr>
      </w:pPr>
      <w:r w:rsidRPr="00F94851">
        <w:rPr>
          <w:b/>
          <w:caps/>
        </w:rPr>
        <w:t>Methods of Instruction</w:t>
      </w:r>
      <w:r w:rsidRPr="00F94851">
        <w:rPr>
          <w:b/>
        </w:rPr>
        <w:t xml:space="preserve">: </w:t>
      </w:r>
    </w:p>
    <w:p w:rsidR="00744F2A" w:rsidRDefault="00AA4C42" w:rsidP="00744F2A">
      <w:r>
        <w:t>C</w:t>
      </w:r>
      <w:r w:rsidR="00744F2A" w:rsidRPr="00F94851">
        <w:t>lass session</w:t>
      </w:r>
      <w:r>
        <w:t>s</w:t>
      </w:r>
      <w:r w:rsidR="00744F2A" w:rsidRPr="00F94851">
        <w:t xml:space="preserve"> will</w:t>
      </w:r>
      <w:r>
        <w:t xml:space="preserve"> be a combination of</w:t>
      </w:r>
      <w:r w:rsidR="00744F2A" w:rsidRPr="00F94851">
        <w:t xml:space="preserve"> presentation of major topic</w:t>
      </w:r>
      <w:r w:rsidR="00915383">
        <w:t>s</w:t>
      </w:r>
      <w:r w:rsidR="00744F2A" w:rsidRPr="00F94851">
        <w:t xml:space="preserve"> and class discussion of </w:t>
      </w:r>
      <w:r w:rsidR="00744F2A">
        <w:t>the presentation</w:t>
      </w:r>
      <w:r w:rsidR="00C75F82">
        <w:t>s</w:t>
      </w:r>
      <w:r w:rsidR="00744F2A">
        <w:t xml:space="preserve"> and </w:t>
      </w:r>
      <w:r w:rsidR="00F554F4">
        <w:t xml:space="preserve">additional </w:t>
      </w:r>
      <w:r w:rsidR="00744F2A">
        <w:t xml:space="preserve">readings. </w:t>
      </w:r>
      <w:r w:rsidR="00744F2A" w:rsidRPr="00F94851">
        <w:t xml:space="preserve">Attendance and active participation in all class discussions is required, and will be evaluated as part of the student’s grade for the course.  Students must read the </w:t>
      </w:r>
      <w:r w:rsidR="00744F2A" w:rsidRPr="00F94851">
        <w:lastRenderedPageBreak/>
        <w:t xml:space="preserve">required readings prior to each class session.  </w:t>
      </w:r>
      <w:r>
        <w:t>S</w:t>
      </w:r>
      <w:r w:rsidR="00744F2A">
        <w:t>tudents are expected to take an active role in initiating and leading discussions and debates.</w:t>
      </w:r>
    </w:p>
    <w:p w:rsidR="00744F2A" w:rsidRPr="00F94851" w:rsidRDefault="00744F2A" w:rsidP="00744F2A">
      <w:pPr>
        <w:rPr>
          <w:b/>
        </w:rPr>
      </w:pPr>
    </w:p>
    <w:p w:rsidR="00744F2A" w:rsidRDefault="00744F2A" w:rsidP="00744F2A">
      <w:r w:rsidRPr="00F94851">
        <w:rPr>
          <w:b/>
          <w:caps/>
        </w:rPr>
        <w:t>Tests</w:t>
      </w:r>
      <w:r w:rsidR="00F554F4">
        <w:rPr>
          <w:b/>
          <w:caps/>
        </w:rPr>
        <w:t xml:space="preserve"> and Quizzes</w:t>
      </w:r>
      <w:r w:rsidR="008B0BF9">
        <w:rPr>
          <w:b/>
          <w:caps/>
        </w:rPr>
        <w:t xml:space="preserve">: </w:t>
      </w:r>
      <w:r w:rsidRPr="00F94851">
        <w:t xml:space="preserve">No midterm or final exam will be required in this course.  </w:t>
      </w:r>
      <w:r w:rsidR="00F554F4">
        <w:t xml:space="preserve">Three short quizzes will occur at </w:t>
      </w:r>
      <w:r w:rsidR="0079230D">
        <w:t xml:space="preserve">the beginning of Weeks 5, 11, and </w:t>
      </w:r>
      <w:r w:rsidR="00F554F4" w:rsidRPr="00B71F06">
        <w:t>13</w:t>
      </w:r>
      <w:r w:rsidR="0079230D">
        <w:t>.</w:t>
      </w:r>
      <w:r w:rsidR="00F554F4" w:rsidRPr="00B71F06">
        <w:t xml:space="preserve"> </w:t>
      </w:r>
      <w:r w:rsidR="00F554F4" w:rsidRPr="00A72630">
        <w:t>(3x5%=15%)</w:t>
      </w:r>
    </w:p>
    <w:p w:rsidR="00744F2A" w:rsidRDefault="00744F2A" w:rsidP="00744F2A"/>
    <w:p w:rsidR="00744F2A" w:rsidRDefault="00744F2A" w:rsidP="00744F2A">
      <w:pPr>
        <w:rPr>
          <w:b/>
          <w:caps/>
        </w:rPr>
      </w:pPr>
      <w:r w:rsidRPr="00F94851">
        <w:rPr>
          <w:b/>
          <w:caps/>
        </w:rPr>
        <w:t>Assignments</w:t>
      </w:r>
    </w:p>
    <w:p w:rsidR="00744F2A" w:rsidRPr="00F94851" w:rsidRDefault="00744F2A" w:rsidP="00744F2A">
      <w:r w:rsidRPr="00F94851">
        <w:t xml:space="preserve">There are </w:t>
      </w:r>
      <w:r w:rsidR="00F554F4">
        <w:t>three</w:t>
      </w:r>
      <w:r w:rsidRPr="00F94851">
        <w:t xml:space="preserve"> requirements:</w:t>
      </w:r>
    </w:p>
    <w:p w:rsidR="00744F2A" w:rsidRPr="00F94851" w:rsidRDefault="00744F2A" w:rsidP="00744F2A"/>
    <w:p w:rsidR="00744F2A" w:rsidRPr="00A72630" w:rsidRDefault="001E01A3" w:rsidP="00744F2A">
      <w:pPr>
        <w:numPr>
          <w:ilvl w:val="0"/>
          <w:numId w:val="5"/>
        </w:numPr>
      </w:pPr>
      <w:r>
        <w:rPr>
          <w:u w:val="single"/>
        </w:rPr>
        <w:t>Homework</w:t>
      </w:r>
      <w:r w:rsidR="00045B3E">
        <w:t>:</w:t>
      </w:r>
      <w:r w:rsidR="00744F2A" w:rsidRPr="00F94851">
        <w:t xml:space="preserve"> </w:t>
      </w:r>
      <w:r w:rsidR="0079230D">
        <w:t xml:space="preserve">Based on material covered </w:t>
      </w:r>
      <w:r w:rsidR="0079230D" w:rsidRPr="009C6917">
        <w:t xml:space="preserve">during </w:t>
      </w:r>
      <w:r w:rsidR="0079230D" w:rsidRPr="00531ADD">
        <w:t xml:space="preserve">Weeks 2, 3, </w:t>
      </w:r>
      <w:r w:rsidR="0079230D">
        <w:t>5-6</w:t>
      </w:r>
      <w:r w:rsidR="0079230D" w:rsidRPr="00531ADD">
        <w:t xml:space="preserve">, </w:t>
      </w:r>
      <w:r w:rsidR="0079230D">
        <w:t xml:space="preserve">7, </w:t>
      </w:r>
      <w:r w:rsidR="0079230D" w:rsidRPr="00531ADD">
        <w:t>and 1</w:t>
      </w:r>
      <w:r w:rsidR="0079230D">
        <w:t xml:space="preserve">3 </w:t>
      </w:r>
      <w:r w:rsidR="0079230D" w:rsidRPr="009C6917">
        <w:t>and due via e-mail, E-Learning, or next class session.</w:t>
      </w:r>
      <w:r w:rsidR="0079230D" w:rsidRPr="006B7DD3">
        <w:t xml:space="preserve"> </w:t>
      </w:r>
      <w:r w:rsidR="0079230D">
        <w:t>(5x7%=35%)</w:t>
      </w:r>
    </w:p>
    <w:p w:rsidR="00744F2A" w:rsidRPr="00A72630" w:rsidRDefault="00744F2A" w:rsidP="00744F2A">
      <w:pPr>
        <w:ind w:left="360"/>
      </w:pPr>
    </w:p>
    <w:p w:rsidR="00744F2A" w:rsidRPr="00A72630" w:rsidRDefault="00744F2A" w:rsidP="00744F2A">
      <w:pPr>
        <w:numPr>
          <w:ilvl w:val="0"/>
          <w:numId w:val="5"/>
        </w:numPr>
      </w:pPr>
      <w:r w:rsidRPr="00A72630">
        <w:rPr>
          <w:u w:val="single"/>
        </w:rPr>
        <w:t xml:space="preserve">Class </w:t>
      </w:r>
      <w:r w:rsidR="0079230D">
        <w:rPr>
          <w:u w:val="single"/>
        </w:rPr>
        <w:t>P</w:t>
      </w:r>
      <w:r w:rsidR="00CC0425" w:rsidRPr="00A72630">
        <w:rPr>
          <w:u w:val="single"/>
        </w:rPr>
        <w:t>articipation</w:t>
      </w:r>
      <w:r w:rsidRPr="00140BEF">
        <w:t>:</w:t>
      </w:r>
      <w:r w:rsidRPr="00A72630">
        <w:t xml:space="preserve"> </w:t>
      </w:r>
      <w:r w:rsidR="0079230D" w:rsidRPr="00F94851">
        <w:t xml:space="preserve">All students must </w:t>
      </w:r>
      <w:r w:rsidR="0079230D">
        <w:t xml:space="preserve">attend class and </w:t>
      </w:r>
      <w:r w:rsidR="0079230D" w:rsidRPr="00F94851">
        <w:t>participate in each class discussion.</w:t>
      </w:r>
      <w:r w:rsidR="0079230D">
        <w:t xml:space="preserve"> (10%)</w:t>
      </w:r>
    </w:p>
    <w:p w:rsidR="001E01A3" w:rsidRPr="00A72630" w:rsidRDefault="001E01A3" w:rsidP="001E01A3">
      <w:pPr>
        <w:pStyle w:val="ListParagraph"/>
      </w:pPr>
    </w:p>
    <w:p w:rsidR="00AF07A9" w:rsidRDefault="00744F2A" w:rsidP="00AF07A9">
      <w:pPr>
        <w:numPr>
          <w:ilvl w:val="0"/>
          <w:numId w:val="5"/>
        </w:numPr>
      </w:pPr>
      <w:r w:rsidRPr="00F94851">
        <w:rPr>
          <w:u w:val="single"/>
        </w:rPr>
        <w:t>Paper critique</w:t>
      </w:r>
      <w:r w:rsidR="00AF07A9">
        <w:rPr>
          <w:u w:val="single"/>
        </w:rPr>
        <w:t xml:space="preserve"> and Presentation</w:t>
      </w:r>
      <w:r w:rsidRPr="00140BEF">
        <w:t>:</w:t>
      </w:r>
      <w:r w:rsidRPr="00F94851">
        <w:t xml:space="preserve"> Each student will choo</w:t>
      </w:r>
      <w:r>
        <w:t xml:space="preserve">se </w:t>
      </w:r>
      <w:r w:rsidR="00AF07A9">
        <w:t>two</w:t>
      </w:r>
      <w:r>
        <w:t xml:space="preserve"> published papers reporting results from clinical trials</w:t>
      </w:r>
      <w:r w:rsidRPr="00F94851">
        <w:t xml:space="preserve"> and </w:t>
      </w:r>
    </w:p>
    <w:p w:rsidR="00744F2A" w:rsidRDefault="00AF07A9" w:rsidP="00AF07A9">
      <w:pPr>
        <w:numPr>
          <w:ilvl w:val="1"/>
          <w:numId w:val="5"/>
        </w:numPr>
      </w:pPr>
      <w:r w:rsidRPr="00AF07A9">
        <w:t>W</w:t>
      </w:r>
      <w:r w:rsidR="00744F2A" w:rsidRPr="00F94851">
        <w:t xml:space="preserve">rite a 3-5 </w:t>
      </w:r>
      <w:r>
        <w:t>(</w:t>
      </w:r>
      <w:r w:rsidR="00744F2A" w:rsidRPr="00F94851">
        <w:t>double-</w:t>
      </w:r>
      <w:r>
        <w:t>spaced) critique for one</w:t>
      </w:r>
      <w:r w:rsidR="00980D27">
        <w:t xml:space="preserve"> (20%)</w:t>
      </w:r>
    </w:p>
    <w:p w:rsidR="00AF07A9" w:rsidRDefault="00AF07A9" w:rsidP="00AF07A9">
      <w:pPr>
        <w:numPr>
          <w:ilvl w:val="1"/>
          <w:numId w:val="5"/>
        </w:numPr>
      </w:pPr>
      <w:r>
        <w:t>Present the other to class</w:t>
      </w:r>
      <w:r w:rsidR="00980D27">
        <w:t xml:space="preserve"> (20%)</w:t>
      </w:r>
    </w:p>
    <w:p w:rsidR="00744F2A" w:rsidRPr="00F94851" w:rsidRDefault="00744F2A" w:rsidP="00744F2A">
      <w:pPr>
        <w:rPr>
          <w:b/>
        </w:rPr>
      </w:pPr>
    </w:p>
    <w:p w:rsidR="00744F2A" w:rsidRPr="00F94851" w:rsidRDefault="00744F2A" w:rsidP="00744F2A">
      <w:pPr>
        <w:rPr>
          <w:b/>
          <w:caps/>
        </w:rPr>
      </w:pPr>
      <w:r w:rsidRPr="00F94851">
        <w:rPr>
          <w:b/>
          <w:caps/>
        </w:rPr>
        <w:t>Evaluation and Grading</w:t>
      </w:r>
    </w:p>
    <w:p w:rsidR="00744F2A" w:rsidRDefault="00744F2A" w:rsidP="00744F2A">
      <w:r w:rsidRPr="00F94851">
        <w:t xml:space="preserve">Grades will be based on the </w:t>
      </w:r>
      <w:r w:rsidR="00CC0425">
        <w:t>homework assignments</w:t>
      </w:r>
      <w:r w:rsidRPr="00F94851">
        <w:t xml:space="preserve"> (</w:t>
      </w:r>
      <w:r w:rsidR="008B0BF9">
        <w:t>3</w:t>
      </w:r>
      <w:r>
        <w:t>5%); attendance</w:t>
      </w:r>
      <w:r w:rsidR="0079230D">
        <w:t xml:space="preserve"> and class</w:t>
      </w:r>
      <w:r w:rsidRPr="00F94851">
        <w:t xml:space="preserve"> participation (</w:t>
      </w:r>
      <w:r w:rsidR="00CC0425">
        <w:t>10</w:t>
      </w:r>
      <w:r w:rsidRPr="00F94851">
        <w:t xml:space="preserve">%); </w:t>
      </w:r>
      <w:r w:rsidR="00CC0425">
        <w:t xml:space="preserve">quizzes (15%); </w:t>
      </w:r>
      <w:r>
        <w:t xml:space="preserve">and </w:t>
      </w:r>
      <w:r w:rsidRPr="00F94851">
        <w:t>paper critique</w:t>
      </w:r>
      <w:r w:rsidR="008B0BF9">
        <w:t>s and presentations</w:t>
      </w:r>
      <w:r w:rsidRPr="00F94851">
        <w:t xml:space="preserve"> (</w:t>
      </w:r>
      <w:r w:rsidR="008B0BF9">
        <w:t>4</w:t>
      </w:r>
      <w:r>
        <w:t>0%).  A</w:t>
      </w:r>
      <w:r w:rsidRPr="00F94851">
        <w:t>ll deadlines must be met.  Any assignment turned in after the deadline will receive one</w:t>
      </w:r>
      <w:r w:rsidR="008B0BF9">
        <w:t xml:space="preserve"> full letter</w:t>
      </w:r>
      <w:r w:rsidRPr="00F94851">
        <w:t xml:space="preserve"> grade below what it would have earned had it been submitted on time. </w:t>
      </w:r>
      <w:r>
        <w:t>The following grading system will be use</w:t>
      </w:r>
      <w:r w:rsidR="00CC0425">
        <w:t>d</w:t>
      </w:r>
      <w:r>
        <w:t>: A (9</w:t>
      </w:r>
      <w:r w:rsidR="00980D27">
        <w:t>2.5</w:t>
      </w:r>
      <w:r>
        <w:t xml:space="preserve">% or higher), </w:t>
      </w:r>
      <w:r w:rsidR="00980D27">
        <w:t>A- (89.5%-92.</w:t>
      </w:r>
      <w:r w:rsidR="00A1615B">
        <w:t>49%</w:t>
      </w:r>
      <w:r w:rsidR="00980D27">
        <w:t>), B+ (86.5</w:t>
      </w:r>
      <w:r>
        <w:t>%-89</w:t>
      </w:r>
      <w:r w:rsidR="00980D27">
        <w:t>.</w:t>
      </w:r>
      <w:r w:rsidR="00A1615B" w:rsidRPr="00A1615B">
        <w:t xml:space="preserve"> </w:t>
      </w:r>
      <w:r w:rsidR="00A1615B">
        <w:t>49</w:t>
      </w:r>
      <w:r w:rsidR="00980D27">
        <w:t>%), B (82.5%-8</w:t>
      </w:r>
      <w:r w:rsidR="00A1615B">
        <w:t>6</w:t>
      </w:r>
      <w:r w:rsidR="00980D27">
        <w:t>.</w:t>
      </w:r>
      <w:r w:rsidR="00A1615B" w:rsidRPr="00A1615B">
        <w:t xml:space="preserve"> </w:t>
      </w:r>
      <w:r w:rsidR="00A1615B">
        <w:t>49</w:t>
      </w:r>
      <w:r>
        <w:t xml:space="preserve">%), </w:t>
      </w:r>
      <w:r w:rsidR="00980D27">
        <w:t>B- (79.5%-82.</w:t>
      </w:r>
      <w:r w:rsidR="00A1615B" w:rsidRPr="00A1615B">
        <w:t xml:space="preserve"> </w:t>
      </w:r>
      <w:r w:rsidR="00A1615B">
        <w:t>49</w:t>
      </w:r>
      <w:r w:rsidR="00980D27">
        <w:t xml:space="preserve">%), </w:t>
      </w:r>
      <w:r>
        <w:t>C+ (</w:t>
      </w:r>
      <w:r w:rsidR="00980D27">
        <w:t>76.5%</w:t>
      </w:r>
      <w:r>
        <w:t>-79</w:t>
      </w:r>
      <w:r w:rsidR="00980D27">
        <w:t>.</w:t>
      </w:r>
      <w:r w:rsidR="00A1615B" w:rsidRPr="00A1615B">
        <w:t xml:space="preserve"> </w:t>
      </w:r>
      <w:r w:rsidR="00A1615B">
        <w:t>49</w:t>
      </w:r>
      <w:r>
        <w:t>%), C (</w:t>
      </w:r>
      <w:r w:rsidR="00980D27">
        <w:t>72.5</w:t>
      </w:r>
      <w:r>
        <w:t>%-76</w:t>
      </w:r>
      <w:r w:rsidR="00980D27">
        <w:t>.</w:t>
      </w:r>
      <w:r w:rsidR="00A1615B" w:rsidRPr="00A1615B">
        <w:t xml:space="preserve"> </w:t>
      </w:r>
      <w:r w:rsidR="00A1615B">
        <w:t>49</w:t>
      </w:r>
      <w:r>
        <w:t xml:space="preserve">%), </w:t>
      </w:r>
      <w:r w:rsidR="00980D27">
        <w:t>C- (69.5%-72.</w:t>
      </w:r>
      <w:r w:rsidR="00A1615B" w:rsidRPr="00A1615B">
        <w:t xml:space="preserve"> </w:t>
      </w:r>
      <w:r w:rsidR="00A1615B">
        <w:t>49</w:t>
      </w:r>
      <w:r w:rsidR="00980D27">
        <w:t>%), D (59.5%</w:t>
      </w:r>
      <w:r>
        <w:t>-69</w:t>
      </w:r>
      <w:r w:rsidR="00980D27">
        <w:t>.</w:t>
      </w:r>
      <w:r w:rsidR="00A1615B" w:rsidRPr="00A1615B">
        <w:t xml:space="preserve"> </w:t>
      </w:r>
      <w:r w:rsidR="00A1615B">
        <w:t>49</w:t>
      </w:r>
      <w:r>
        <w:t>%), and F (&lt;59</w:t>
      </w:r>
      <w:r w:rsidR="00980D27">
        <w:t>.</w:t>
      </w:r>
      <w:r w:rsidR="00A1615B" w:rsidRPr="00A1615B">
        <w:t xml:space="preserve"> </w:t>
      </w:r>
      <w:r w:rsidR="00A1615B">
        <w:t>49</w:t>
      </w:r>
      <w:r>
        <w:t xml:space="preserve">%). </w:t>
      </w:r>
    </w:p>
    <w:p w:rsidR="00744F2A" w:rsidRDefault="00744F2A" w:rsidP="00744F2A">
      <w:pPr>
        <w:rPr>
          <w:b/>
          <w:bCs/>
          <w:caps/>
        </w:rPr>
      </w:pPr>
    </w:p>
    <w:p w:rsidR="00744F2A" w:rsidRPr="00F94851" w:rsidRDefault="00744F2A" w:rsidP="00744F2A">
      <w:pPr>
        <w:rPr>
          <w:b/>
          <w:bCs/>
          <w:caps/>
        </w:rPr>
      </w:pPr>
      <w:r w:rsidRPr="00F94851">
        <w:rPr>
          <w:b/>
          <w:bCs/>
          <w:caps/>
        </w:rPr>
        <w:t>Class Attendance</w:t>
      </w:r>
    </w:p>
    <w:p w:rsidR="00744F2A" w:rsidRPr="00F94851" w:rsidRDefault="00744F2A" w:rsidP="00744F2A">
      <w:r w:rsidRPr="00F94851">
        <w:t>Class attendance is mandatory. Excused absenc</w:t>
      </w:r>
      <w:r w:rsidR="00980D27">
        <w:t>es follow the criteria of the UF</w:t>
      </w:r>
      <w:r w:rsidRPr="00F94851">
        <w:t xml:space="preserve"> Graduate Catalogue (e.g., illness, serious family emergency, military obligations, religious holidays), and should be communicated to the instructor prior to the missed class day when possible. Missing </w:t>
      </w:r>
      <w:r w:rsidR="00980D27">
        <w:t xml:space="preserve">three or more unexcused </w:t>
      </w:r>
      <w:r w:rsidRPr="00F94851">
        <w:t xml:space="preserve">scheduled sessions will result in a failure. Regardless of attendance, students are responsible for all material presented in class and meeting the scheduled due dates for class assignments. Finally, students should read the assigned readings prior to the class meetings, and be prepared to discuss the material </w:t>
      </w:r>
      <w:r>
        <w:t xml:space="preserve">for each session. </w:t>
      </w:r>
    </w:p>
    <w:p w:rsidR="00744F2A" w:rsidRPr="00F94851" w:rsidRDefault="00744F2A" w:rsidP="00744F2A"/>
    <w:p w:rsidR="00744F2A" w:rsidRPr="00F94851" w:rsidRDefault="00045B3E" w:rsidP="00744F2A">
      <w:pPr>
        <w:rPr>
          <w:b/>
        </w:rPr>
      </w:pPr>
      <w:r>
        <w:rPr>
          <w:b/>
        </w:rPr>
        <w:t>E-LEARNING SUPPORT SERVICES</w:t>
      </w:r>
      <w:r>
        <w:rPr>
          <w:b/>
        </w:rPr>
        <w:tab/>
      </w:r>
    </w:p>
    <w:p w:rsidR="00CC0425" w:rsidRDefault="00744F2A" w:rsidP="00744F2A">
      <w:r w:rsidRPr="00F94851">
        <w:t xml:space="preserve">Course information, readings, and grades are available on </w:t>
      </w:r>
      <w:r w:rsidR="00045B3E">
        <w:t>the Sakai system</w:t>
      </w:r>
      <w:r w:rsidRPr="00F94851">
        <w:t xml:space="preserve"> at </w:t>
      </w:r>
      <w:hyperlink r:id="rId9" w:history="1">
        <w:r w:rsidRPr="00F94851">
          <w:rPr>
            <w:rStyle w:val="Hyperlink"/>
          </w:rPr>
          <w:t>http://lss.at.ufl.edu/</w:t>
        </w:r>
      </w:hyperlink>
      <w:r w:rsidRPr="00F94851">
        <w:t>.  You must have a Gatorlink account to log on.</w:t>
      </w:r>
    </w:p>
    <w:p w:rsidR="00744F2A" w:rsidRDefault="00744F2A" w:rsidP="00744F2A">
      <w:r w:rsidRPr="00F94851">
        <w:t xml:space="preserve">  </w:t>
      </w:r>
    </w:p>
    <w:p w:rsidR="00744F2A" w:rsidRDefault="00744F2A" w:rsidP="00744F2A">
      <w:pPr>
        <w:rPr>
          <w:b/>
          <w:bCs/>
        </w:rPr>
      </w:pPr>
      <w:r>
        <w:rPr>
          <w:b/>
          <w:bCs/>
        </w:rPr>
        <w:t>STUDENTS WITH DISABILITIES</w:t>
      </w:r>
    </w:p>
    <w:p w:rsidR="00744F2A" w:rsidRDefault="00744F2A" w:rsidP="00744F2A">
      <w:pPr>
        <w:rPr>
          <w:b/>
        </w:rPr>
      </w:pPr>
      <w:r w:rsidRPr="00F94851">
        <w:t xml:space="preserve">Students requiring accommodations must first register with the Dean of Students' Office.  The Dean of Students' Office will provide documentation to the student who must then provide this documentation to the faculty member when requesting accommodation. The College is committed to providing reasonable accommodations to assist students in their coursework. </w:t>
      </w:r>
    </w:p>
    <w:p w:rsidR="00744F2A" w:rsidRDefault="00744F2A" w:rsidP="00744F2A">
      <w:pPr>
        <w:rPr>
          <w:b/>
        </w:rPr>
      </w:pPr>
    </w:p>
    <w:p w:rsidR="00A37BB4" w:rsidRDefault="00A37BB4">
      <w:pPr>
        <w:rPr>
          <w:b/>
          <w:bCs/>
        </w:rPr>
      </w:pPr>
      <w:r>
        <w:rPr>
          <w:b/>
          <w:bCs/>
        </w:rPr>
        <w:br w:type="page"/>
      </w:r>
    </w:p>
    <w:p w:rsidR="00744F2A" w:rsidRDefault="00744F2A" w:rsidP="00744F2A">
      <w:pPr>
        <w:rPr>
          <w:b/>
          <w:bCs/>
        </w:rPr>
      </w:pPr>
      <w:r>
        <w:rPr>
          <w:b/>
          <w:bCs/>
        </w:rPr>
        <w:lastRenderedPageBreak/>
        <w:t>ACADEMIC INTEGRITY</w:t>
      </w:r>
    </w:p>
    <w:p w:rsidR="00744F2A" w:rsidRPr="00F94851" w:rsidRDefault="00744F2A" w:rsidP="00744F2A">
      <w:r w:rsidRPr="00F94851">
        <w:t xml:space="preserve">Each student is bound by the academic honesty guidelines of the University and the student conduct code printed in the Student Guide and on the University website.  The Honor Code states: “We, the members of the </w:t>
      </w:r>
      <w:smartTag w:uri="urn:schemas-microsoft-com:office:smarttags" w:element="place">
        <w:smartTag w:uri="urn:schemas-microsoft-com:office:smarttags" w:element="PlaceType">
          <w:r w:rsidRPr="00F94851">
            <w:t>University</w:t>
          </w:r>
        </w:smartTag>
        <w:r w:rsidRPr="00F94851">
          <w:t xml:space="preserve"> of </w:t>
        </w:r>
        <w:smartTag w:uri="urn:schemas-microsoft-com:office:smarttags" w:element="PlaceName">
          <w:r w:rsidRPr="00F94851">
            <w:t>Florida</w:t>
          </w:r>
        </w:smartTag>
      </w:smartTag>
      <w:r w:rsidRPr="00F94851">
        <w:t xml:space="preserve"> community, pledge to hold ourselves and our peers to the highest standards of honesty and integrity."  </w:t>
      </w:r>
      <w:r w:rsidR="00210456">
        <w:t xml:space="preserve">While topical discussion is encouraged, all writing and presentation assignments are to be solely the work of the individual student. </w:t>
      </w:r>
      <w:r w:rsidRPr="00F94851">
        <w:t>Cheating or plagiarism in any form is unacceptable and inexcusable behavior.</w:t>
      </w:r>
    </w:p>
    <w:p w:rsidR="00744F2A" w:rsidRPr="00F94851" w:rsidRDefault="00744F2A" w:rsidP="00744F2A">
      <w:pPr>
        <w:pStyle w:val="Heading3"/>
        <w:ind w:left="0"/>
        <w:rPr>
          <w:i w:val="0"/>
          <w:iCs w:val="0"/>
        </w:rPr>
      </w:pPr>
    </w:p>
    <w:p w:rsidR="00744F2A" w:rsidRPr="00F94851" w:rsidRDefault="00744F2A" w:rsidP="00744F2A">
      <w:pPr>
        <w:pStyle w:val="Heading3"/>
        <w:ind w:left="0"/>
        <w:rPr>
          <w:i w:val="0"/>
          <w:iCs w:val="0"/>
        </w:rPr>
      </w:pPr>
      <w:r w:rsidRPr="00F94851">
        <w:rPr>
          <w:i w:val="0"/>
          <w:iCs w:val="0"/>
        </w:rPr>
        <w:t>Policy on Style for Citation and Plagiarism:</w:t>
      </w:r>
    </w:p>
    <w:p w:rsidR="00744F2A" w:rsidRPr="00F94851" w:rsidRDefault="00744F2A" w:rsidP="00744F2A">
      <w:pPr>
        <w:tabs>
          <w:tab w:val="left" w:pos="-720"/>
          <w:tab w:val="left" w:pos="360"/>
        </w:tabs>
        <w:suppressAutoHyphens/>
        <w:rPr>
          <w:spacing w:val="-3"/>
        </w:rPr>
      </w:pPr>
    </w:p>
    <w:p w:rsidR="00744F2A" w:rsidRDefault="00744F2A" w:rsidP="00744F2A">
      <w:r w:rsidRPr="00F94851">
        <w:t xml:space="preserve">The two key purposes of citation are to </w:t>
      </w:r>
      <w:r>
        <w:t>(</w:t>
      </w:r>
      <w:r w:rsidRPr="00F94851">
        <w:t xml:space="preserve">1) give appropriate credit to the authors of information, research findings, and/or ideas (and avoid plagiarism) and </w:t>
      </w:r>
      <w:r>
        <w:t>(</w:t>
      </w:r>
      <w:r w:rsidRPr="00F94851">
        <w:t>2) facilitate access by your readers to the sources you use in your research.</w:t>
      </w:r>
    </w:p>
    <w:p w:rsidR="00744F2A" w:rsidRDefault="00744F2A" w:rsidP="00744F2A"/>
    <w:p w:rsidR="00744F2A" w:rsidRPr="00F94851" w:rsidRDefault="00744F2A" w:rsidP="00744F2A">
      <w:pPr>
        <w:pStyle w:val="BodyText"/>
        <w:jc w:val="left"/>
        <w:rPr>
          <w:b w:val="0"/>
          <w:szCs w:val="24"/>
        </w:rPr>
      </w:pPr>
      <w:r w:rsidRPr="00F94851">
        <w:rPr>
          <w:b w:val="0"/>
          <w:szCs w:val="24"/>
          <w:u w:val="single"/>
        </w:rPr>
        <w:t>Quotations</w:t>
      </w:r>
      <w:r w:rsidRPr="00F94851">
        <w:rPr>
          <w:b w:val="0"/>
          <w:szCs w:val="24"/>
        </w:rPr>
        <w:t xml:space="preserve">: When directly quoting an outside source, the borrowed text, regardless of the amount, must be surrounded by quotation marks or block quoted. Quoted text over two lines in length should be single-spaced and indented beyond the normal margins. Every quote must include a source—the author, title, volume, page numbers, etc.—whether an internal reference, footnote, or endnote is used in conjunction with a bibliography page.   </w:t>
      </w:r>
    </w:p>
    <w:p w:rsidR="00744F2A" w:rsidRPr="00F94851" w:rsidRDefault="00744F2A" w:rsidP="00744F2A">
      <w:pPr>
        <w:pStyle w:val="BodyText"/>
        <w:jc w:val="left"/>
        <w:rPr>
          <w:b w:val="0"/>
          <w:szCs w:val="24"/>
          <w:u w:val="single"/>
        </w:rPr>
      </w:pPr>
    </w:p>
    <w:p w:rsidR="00744F2A" w:rsidRPr="00F94851" w:rsidRDefault="00744F2A" w:rsidP="00744F2A">
      <w:pPr>
        <w:pStyle w:val="BodyText"/>
        <w:jc w:val="left"/>
        <w:rPr>
          <w:b w:val="0"/>
          <w:szCs w:val="24"/>
        </w:rPr>
      </w:pPr>
      <w:r w:rsidRPr="00F94851">
        <w:rPr>
          <w:b w:val="0"/>
          <w:szCs w:val="24"/>
          <w:u w:val="single"/>
        </w:rPr>
        <w:t>Paraphrasing or Citing an Idea</w:t>
      </w:r>
      <w:r w:rsidRPr="00F94851">
        <w:rPr>
          <w:b w:val="0"/>
          <w:szCs w:val="24"/>
        </w:rPr>
        <w:t xml:space="preserve">: When summarizing an outside source in your own words or citing another person’s ideas, quotation marks are not necessary, but the source must be included.  This includes, but is not confined to, personal communications from other students, faculty members, experts in the field, summarized ideas from published or unpublished resource, and primary methods derived from published or unpublished sources.  Use the general concept of “when in doubt – cite.” </w:t>
      </w:r>
    </w:p>
    <w:p w:rsidR="00744F2A" w:rsidRPr="00F94851" w:rsidRDefault="00744F2A" w:rsidP="00744F2A">
      <w:pPr>
        <w:rPr>
          <w:bCs/>
        </w:rPr>
      </w:pPr>
    </w:p>
    <w:p w:rsidR="00744F2A" w:rsidRDefault="00744F2A" w:rsidP="00744F2A">
      <w:pPr>
        <w:pStyle w:val="BodyText"/>
        <w:jc w:val="left"/>
        <w:rPr>
          <w:b w:val="0"/>
          <w:bCs/>
          <w:szCs w:val="24"/>
        </w:rPr>
      </w:pPr>
      <w:r w:rsidRPr="00F94851">
        <w:rPr>
          <w:b w:val="0"/>
          <w:bCs/>
          <w:szCs w:val="24"/>
        </w:rPr>
        <w:t>Plagiarism is a serious violation of the academic honesty policy of the College. If a student plagiarizes others’ material or ideas, he or she may receive an “E” in the course. The faculty member may also recommend further sanctions to the Dean, per College disciplinary action policy. Generally speaking, the three keys of acceptable citation practice are:  1) thoroughness, 2) accuracy, and 3) consistency.  In other words, be sure to fully cite all sources used (thoroughness), be accurate in the citation information provided, and be consistent in the citation style you adopt.  All references should include the following elements: 1) last names along with first and middle initials; 2) full title of reference; 3) name of journal or book; 4) publication city, publisher, volume, and date; and 5) page numbers referenced.  When citing information from the Internet, include the WWW address at the end, with the “access date” (i.e., when you obtained the information), just as you would list the document number and date for all public documents. When citing ideas or words from an individual that are not published, you can write “personal communication” along with the person’s n</w:t>
      </w:r>
      <w:r>
        <w:rPr>
          <w:b w:val="0"/>
          <w:bCs/>
          <w:szCs w:val="24"/>
        </w:rPr>
        <w:t>ame and date of communication.</w:t>
      </w:r>
    </w:p>
    <w:p w:rsidR="00CC0425" w:rsidRDefault="00CC0425" w:rsidP="00744F2A">
      <w:pPr>
        <w:pStyle w:val="BodyText"/>
        <w:jc w:val="left"/>
        <w:rPr>
          <w:b w:val="0"/>
          <w:bCs/>
          <w:szCs w:val="24"/>
        </w:rPr>
      </w:pPr>
    </w:p>
    <w:p w:rsidR="00210456" w:rsidRDefault="00210456" w:rsidP="00744F2A">
      <w:pPr>
        <w:pStyle w:val="BodyText"/>
        <w:jc w:val="left"/>
        <w:rPr>
          <w:b w:val="0"/>
          <w:bCs/>
          <w:szCs w:val="24"/>
        </w:rPr>
      </w:pPr>
      <w:r w:rsidRPr="00210456">
        <w:rPr>
          <w:bCs/>
          <w:szCs w:val="24"/>
        </w:rPr>
        <w:t>Required Text:</w:t>
      </w:r>
      <w:r>
        <w:rPr>
          <w:b w:val="0"/>
          <w:bCs/>
          <w:szCs w:val="24"/>
        </w:rPr>
        <w:t xml:space="preserve">  </w:t>
      </w:r>
    </w:p>
    <w:p w:rsidR="00102679" w:rsidRPr="00140BEF" w:rsidRDefault="00102679" w:rsidP="00102679">
      <w:pPr>
        <w:pStyle w:val="BodyText"/>
        <w:jc w:val="left"/>
        <w:rPr>
          <w:b w:val="0"/>
          <w:bCs/>
          <w:szCs w:val="24"/>
        </w:rPr>
      </w:pPr>
      <w:proofErr w:type="gramStart"/>
      <w:r>
        <w:rPr>
          <w:b w:val="0"/>
          <w:bCs/>
          <w:szCs w:val="24"/>
        </w:rPr>
        <w:t xml:space="preserve">Friedman, </w:t>
      </w:r>
      <w:proofErr w:type="spellStart"/>
      <w:r>
        <w:rPr>
          <w:b w:val="0"/>
          <w:bCs/>
          <w:szCs w:val="24"/>
        </w:rPr>
        <w:t>Furberg</w:t>
      </w:r>
      <w:proofErr w:type="spellEnd"/>
      <w:r>
        <w:rPr>
          <w:b w:val="0"/>
          <w:bCs/>
          <w:szCs w:val="24"/>
        </w:rPr>
        <w:t xml:space="preserve">, and </w:t>
      </w:r>
      <w:proofErr w:type="spellStart"/>
      <w:r>
        <w:rPr>
          <w:b w:val="0"/>
          <w:bCs/>
          <w:szCs w:val="24"/>
        </w:rPr>
        <w:t>DeMets</w:t>
      </w:r>
      <w:proofErr w:type="spellEnd"/>
      <w:r>
        <w:rPr>
          <w:b w:val="0"/>
          <w:bCs/>
          <w:szCs w:val="24"/>
        </w:rPr>
        <w:t>.</w:t>
      </w:r>
      <w:proofErr w:type="gramEnd"/>
      <w:r>
        <w:rPr>
          <w:b w:val="0"/>
          <w:bCs/>
          <w:szCs w:val="24"/>
        </w:rPr>
        <w:t xml:space="preserve"> </w:t>
      </w:r>
      <w:proofErr w:type="gramStart"/>
      <w:r w:rsidRPr="00210456">
        <w:rPr>
          <w:b w:val="0"/>
          <w:bCs/>
          <w:i/>
          <w:szCs w:val="24"/>
        </w:rPr>
        <w:t>Fundamentals of Clinical Trials (</w:t>
      </w:r>
      <w:r>
        <w:rPr>
          <w:b w:val="0"/>
          <w:bCs/>
          <w:i/>
          <w:szCs w:val="24"/>
        </w:rPr>
        <w:t>4th</w:t>
      </w:r>
      <w:r w:rsidRPr="00210456">
        <w:rPr>
          <w:b w:val="0"/>
          <w:bCs/>
          <w:i/>
          <w:szCs w:val="24"/>
        </w:rPr>
        <w:t xml:space="preserve"> Edition)</w:t>
      </w:r>
      <w:r>
        <w:rPr>
          <w:b w:val="0"/>
          <w:bCs/>
          <w:szCs w:val="24"/>
        </w:rPr>
        <w:t>.</w:t>
      </w:r>
      <w:proofErr w:type="gramEnd"/>
      <w:r>
        <w:rPr>
          <w:b w:val="0"/>
          <w:bCs/>
          <w:szCs w:val="24"/>
        </w:rPr>
        <w:t xml:space="preserve"> </w:t>
      </w:r>
      <w:proofErr w:type="gramStart"/>
      <w:r>
        <w:rPr>
          <w:b w:val="0"/>
          <w:bCs/>
          <w:szCs w:val="24"/>
        </w:rPr>
        <w:t>Springer, 2010.</w:t>
      </w:r>
      <w:proofErr w:type="gramEnd"/>
      <w:r>
        <w:rPr>
          <w:b w:val="0"/>
          <w:bCs/>
          <w:szCs w:val="24"/>
        </w:rPr>
        <w:t xml:space="preserve">  Free text available online at </w:t>
      </w:r>
      <w:hyperlink r:id="rId10" w:tgtFrame="_blank" w:history="1">
        <w:r w:rsidRPr="00140BEF">
          <w:rPr>
            <w:rStyle w:val="Hyperlink"/>
            <w:b w:val="0"/>
            <w:szCs w:val="24"/>
          </w:rPr>
          <w:t>http://dx.doi.org/10.1007/978-1-4419-1586-3</w:t>
        </w:r>
      </w:hyperlink>
    </w:p>
    <w:p w:rsidR="00744F2A" w:rsidRDefault="00744F2A" w:rsidP="00744F2A">
      <w:pPr>
        <w:pStyle w:val="BodyText"/>
        <w:jc w:val="left"/>
        <w:rPr>
          <w:b w:val="0"/>
          <w:bCs/>
          <w:szCs w:val="24"/>
        </w:rPr>
      </w:pPr>
    </w:p>
    <w:p w:rsidR="00B82408" w:rsidRDefault="00210456" w:rsidP="00744F2A">
      <w:pPr>
        <w:pStyle w:val="BodyText"/>
        <w:jc w:val="left"/>
        <w:rPr>
          <w:bCs/>
          <w:szCs w:val="24"/>
        </w:rPr>
      </w:pPr>
      <w:r>
        <w:rPr>
          <w:bCs/>
          <w:szCs w:val="24"/>
        </w:rPr>
        <w:t>Optional</w:t>
      </w:r>
      <w:r w:rsidR="00F554F4">
        <w:rPr>
          <w:bCs/>
          <w:szCs w:val="24"/>
        </w:rPr>
        <w:t>/Recommended</w:t>
      </w:r>
      <w:r>
        <w:rPr>
          <w:bCs/>
          <w:szCs w:val="24"/>
        </w:rPr>
        <w:t xml:space="preserve"> </w:t>
      </w:r>
      <w:r w:rsidR="00744F2A" w:rsidRPr="005105BA">
        <w:rPr>
          <w:bCs/>
          <w:szCs w:val="24"/>
        </w:rPr>
        <w:t>Text</w:t>
      </w:r>
      <w:r w:rsidR="00B82408">
        <w:rPr>
          <w:bCs/>
          <w:szCs w:val="24"/>
        </w:rPr>
        <w:t>s</w:t>
      </w:r>
      <w:r w:rsidR="00744F2A" w:rsidRPr="005105BA">
        <w:rPr>
          <w:bCs/>
          <w:szCs w:val="24"/>
        </w:rPr>
        <w:t xml:space="preserve">:  </w:t>
      </w:r>
    </w:p>
    <w:p w:rsidR="00102679" w:rsidRPr="00B82408" w:rsidRDefault="00102679" w:rsidP="00102679">
      <w:pPr>
        <w:pStyle w:val="BodyText"/>
        <w:jc w:val="left"/>
        <w:rPr>
          <w:b w:val="0"/>
          <w:bCs/>
          <w:szCs w:val="24"/>
        </w:rPr>
      </w:pPr>
      <w:proofErr w:type="gramStart"/>
      <w:r>
        <w:rPr>
          <w:b w:val="0"/>
          <w:bCs/>
          <w:szCs w:val="24"/>
        </w:rPr>
        <w:t>Machin and Fayers.</w:t>
      </w:r>
      <w:proofErr w:type="gramEnd"/>
      <w:r>
        <w:rPr>
          <w:b w:val="0"/>
          <w:bCs/>
          <w:szCs w:val="24"/>
        </w:rPr>
        <w:t xml:space="preserve"> </w:t>
      </w:r>
      <w:proofErr w:type="gramStart"/>
      <w:r w:rsidRPr="00B82408">
        <w:rPr>
          <w:b w:val="0"/>
          <w:bCs/>
          <w:i/>
          <w:szCs w:val="24"/>
        </w:rPr>
        <w:t>Randomized Clinical Trials: Design, Practice and Reporting</w:t>
      </w:r>
      <w:r w:rsidRPr="00B82408">
        <w:rPr>
          <w:b w:val="0"/>
          <w:bCs/>
          <w:szCs w:val="24"/>
        </w:rPr>
        <w:t>.</w:t>
      </w:r>
      <w:proofErr w:type="gramEnd"/>
      <w:r w:rsidRPr="00B82408">
        <w:rPr>
          <w:b w:val="0"/>
          <w:bCs/>
          <w:szCs w:val="24"/>
        </w:rPr>
        <w:t xml:space="preserve"> Wiley-Blackwell, 2010</w:t>
      </w:r>
    </w:p>
    <w:p w:rsidR="00B82408" w:rsidRDefault="00B82408" w:rsidP="00744F2A">
      <w:pPr>
        <w:pStyle w:val="BodyText"/>
        <w:jc w:val="left"/>
        <w:rPr>
          <w:b w:val="0"/>
          <w:bCs/>
          <w:szCs w:val="24"/>
        </w:rPr>
      </w:pPr>
    </w:p>
    <w:p w:rsidR="00744F2A" w:rsidRPr="005105BA" w:rsidRDefault="005105BA" w:rsidP="00744F2A">
      <w:pPr>
        <w:pStyle w:val="BodyText"/>
        <w:jc w:val="left"/>
        <w:rPr>
          <w:b w:val="0"/>
          <w:bCs/>
          <w:szCs w:val="24"/>
        </w:rPr>
      </w:pPr>
      <w:r>
        <w:rPr>
          <w:b w:val="0"/>
          <w:bCs/>
          <w:szCs w:val="24"/>
        </w:rPr>
        <w:t xml:space="preserve">Piantadosi S.  </w:t>
      </w:r>
      <w:r w:rsidRPr="005105BA">
        <w:rPr>
          <w:b w:val="0"/>
          <w:bCs/>
          <w:i/>
          <w:szCs w:val="24"/>
        </w:rPr>
        <w:t>Clinical Trials: A Methodologic Perspective (2</w:t>
      </w:r>
      <w:r w:rsidRPr="005105BA">
        <w:rPr>
          <w:b w:val="0"/>
          <w:bCs/>
          <w:i/>
          <w:szCs w:val="24"/>
          <w:vertAlign w:val="superscript"/>
        </w:rPr>
        <w:t>nd</w:t>
      </w:r>
      <w:r w:rsidRPr="005105BA">
        <w:rPr>
          <w:b w:val="0"/>
          <w:bCs/>
          <w:i/>
          <w:szCs w:val="24"/>
        </w:rPr>
        <w:t xml:space="preserve"> Edition</w:t>
      </w:r>
      <w:r>
        <w:rPr>
          <w:b w:val="0"/>
          <w:bCs/>
          <w:szCs w:val="24"/>
        </w:rPr>
        <w:t>).  New Je</w:t>
      </w:r>
      <w:r w:rsidR="00037E0B">
        <w:rPr>
          <w:b w:val="0"/>
          <w:bCs/>
          <w:szCs w:val="24"/>
        </w:rPr>
        <w:t xml:space="preserve">rsey: John Wiley &amp; Sons, 2005. </w:t>
      </w:r>
    </w:p>
    <w:p w:rsidR="00744F2A" w:rsidRDefault="00A1615B" w:rsidP="00E94C30">
      <w:r>
        <w:rPr>
          <w:b/>
        </w:rPr>
        <w:lastRenderedPageBreak/>
        <w:t xml:space="preserve">TENTATIVE </w:t>
      </w:r>
      <w:r w:rsidR="00744F2A">
        <w:rPr>
          <w:b/>
        </w:rPr>
        <w:t xml:space="preserve">SCHEDULE OF TOPICS </w:t>
      </w:r>
    </w:p>
    <w:p w:rsidR="00AB4BAF" w:rsidRDefault="00AB4BAF"/>
    <w:p w:rsidR="00A45115" w:rsidRPr="0028752F" w:rsidRDefault="00744F2A">
      <w:pPr>
        <w:rPr>
          <w:b/>
        </w:rPr>
      </w:pPr>
      <w:r w:rsidRPr="0028752F">
        <w:rPr>
          <w:b/>
        </w:rPr>
        <w:t xml:space="preserve">Week </w:t>
      </w:r>
      <w:r w:rsidR="001E01A3">
        <w:rPr>
          <w:b/>
        </w:rPr>
        <w:t>1</w:t>
      </w:r>
      <w:r w:rsidR="00E664E0">
        <w:rPr>
          <w:b/>
        </w:rPr>
        <w:t xml:space="preserve"> </w:t>
      </w:r>
      <w:r w:rsidR="00A1615B">
        <w:rPr>
          <w:b/>
        </w:rPr>
        <w:t>(1/</w:t>
      </w:r>
      <w:r w:rsidR="007106C1">
        <w:rPr>
          <w:b/>
        </w:rPr>
        <w:t>9</w:t>
      </w:r>
      <w:r w:rsidR="00A1615B">
        <w:rPr>
          <w:b/>
        </w:rPr>
        <w:t>)</w:t>
      </w:r>
      <w:r w:rsidR="00A45115" w:rsidRPr="0028752F">
        <w:rPr>
          <w:b/>
        </w:rPr>
        <w:t xml:space="preserve"> </w:t>
      </w:r>
      <w:r w:rsidR="00577837">
        <w:rPr>
          <w:b/>
        </w:rPr>
        <w:t xml:space="preserve">Introduction, </w:t>
      </w:r>
      <w:r w:rsidR="00A45115" w:rsidRPr="0028752F">
        <w:rPr>
          <w:b/>
        </w:rPr>
        <w:t>Motivation</w:t>
      </w:r>
      <w:r w:rsidR="00577837">
        <w:rPr>
          <w:b/>
        </w:rPr>
        <w:t>,</w:t>
      </w:r>
      <w:r w:rsidR="00A45115" w:rsidRPr="0028752F">
        <w:rPr>
          <w:b/>
        </w:rPr>
        <w:t xml:space="preserve"> and </w:t>
      </w:r>
      <w:r w:rsidR="00577837">
        <w:rPr>
          <w:b/>
        </w:rPr>
        <w:t>E</w:t>
      </w:r>
      <w:r w:rsidR="00A45115" w:rsidRPr="0028752F">
        <w:rPr>
          <w:b/>
        </w:rPr>
        <w:t xml:space="preserve">thics of </w:t>
      </w:r>
      <w:r w:rsidR="00A60808">
        <w:rPr>
          <w:b/>
        </w:rPr>
        <w:t>C</w:t>
      </w:r>
      <w:r w:rsidR="00A45115" w:rsidRPr="0028752F">
        <w:rPr>
          <w:b/>
        </w:rPr>
        <w:t xml:space="preserve">linical </w:t>
      </w:r>
      <w:r w:rsidR="00A60808">
        <w:rPr>
          <w:b/>
        </w:rPr>
        <w:t>T</w:t>
      </w:r>
      <w:r w:rsidR="00A45115" w:rsidRPr="0028752F">
        <w:rPr>
          <w:b/>
        </w:rPr>
        <w:t>rials</w:t>
      </w:r>
      <w:r w:rsidR="00F554F4">
        <w:rPr>
          <w:b/>
        </w:rPr>
        <w:t xml:space="preserve"> (</w:t>
      </w:r>
      <w:r w:rsidR="007106C1">
        <w:rPr>
          <w:b/>
        </w:rPr>
        <w:t>TJ</w:t>
      </w:r>
      <w:r w:rsidR="00F554F4">
        <w:rPr>
          <w:b/>
        </w:rPr>
        <w:t>)</w:t>
      </w:r>
    </w:p>
    <w:p w:rsidR="00335C6D" w:rsidRDefault="00335C6D" w:rsidP="00335C6D">
      <w:r>
        <w:tab/>
        <w:t xml:space="preserve">a. </w:t>
      </w:r>
      <w:r w:rsidR="00A16FFF">
        <w:t>Historical examples</w:t>
      </w:r>
    </w:p>
    <w:p w:rsidR="00A16FFF" w:rsidRDefault="00A16FFF" w:rsidP="00A45115">
      <w:pPr>
        <w:ind w:left="720"/>
      </w:pPr>
      <w:r>
        <w:t>b</w:t>
      </w:r>
      <w:r w:rsidR="00A45115">
        <w:t xml:space="preserve">. </w:t>
      </w:r>
      <w:r>
        <w:t>Introduction to study designs and clinical trials</w:t>
      </w:r>
    </w:p>
    <w:p w:rsidR="00A45115" w:rsidRDefault="00A16FFF" w:rsidP="00A45115">
      <w:pPr>
        <w:ind w:left="720"/>
      </w:pPr>
      <w:r>
        <w:t xml:space="preserve">c. Ethics and </w:t>
      </w:r>
      <w:r w:rsidR="00A45115">
        <w:t>Historically derived principles</w:t>
      </w:r>
    </w:p>
    <w:p w:rsidR="002675B0" w:rsidRDefault="002675B0" w:rsidP="002675B0">
      <w:pPr>
        <w:ind w:left="1440"/>
      </w:pPr>
      <w:r>
        <w:t xml:space="preserve">i. </w:t>
      </w:r>
      <w:r w:rsidR="001E01A3">
        <w:t xml:space="preserve"> </w:t>
      </w:r>
      <w:r>
        <w:t xml:space="preserve">Nuremberg Code </w:t>
      </w:r>
    </w:p>
    <w:p w:rsidR="00AB4BAF" w:rsidRDefault="00AB4BAF" w:rsidP="002675B0">
      <w:pPr>
        <w:ind w:left="1440"/>
      </w:pPr>
      <w:r>
        <w:t xml:space="preserve">ii. Declaration of </w:t>
      </w:r>
      <w:smartTag w:uri="urn:schemas-microsoft-com:office:smarttags" w:element="place">
        <w:smartTag w:uri="urn:schemas-microsoft-com:office:smarttags" w:element="City">
          <w:r>
            <w:t>Helsinki</w:t>
          </w:r>
        </w:smartTag>
      </w:smartTag>
    </w:p>
    <w:p w:rsidR="008C2399" w:rsidRDefault="001E01A3" w:rsidP="002675B0">
      <w:pPr>
        <w:ind w:left="1440"/>
      </w:pPr>
      <w:r>
        <w:t>iii.</w:t>
      </w:r>
      <w:r w:rsidR="008C2399">
        <w:t>Belmont Report</w:t>
      </w:r>
    </w:p>
    <w:p w:rsidR="00A16FFF" w:rsidRDefault="00A16FFF" w:rsidP="00A16FFF">
      <w:pPr>
        <w:ind w:left="720"/>
      </w:pPr>
      <w:r>
        <w:t>d. Equipoise</w:t>
      </w:r>
    </w:p>
    <w:p w:rsidR="00A16FFF" w:rsidRDefault="00A16FFF" w:rsidP="00A16FFF">
      <w:pPr>
        <w:ind w:left="720"/>
      </w:pPr>
      <w:r>
        <w:t>e. Informed consent</w:t>
      </w:r>
    </w:p>
    <w:p w:rsidR="00B82408" w:rsidRDefault="00B82408" w:rsidP="00A16FFF">
      <w:pPr>
        <w:ind w:left="720"/>
      </w:pPr>
    </w:p>
    <w:p w:rsidR="00B82408" w:rsidRDefault="00B82408" w:rsidP="00B82408">
      <w:pPr>
        <w:ind w:left="720" w:hanging="720"/>
      </w:pPr>
      <w:r w:rsidRPr="0028752F">
        <w:rPr>
          <w:b/>
        </w:rPr>
        <w:t xml:space="preserve">Week </w:t>
      </w:r>
      <w:r>
        <w:rPr>
          <w:b/>
        </w:rPr>
        <w:t>2 (1/</w:t>
      </w:r>
      <w:r w:rsidR="007106C1">
        <w:rPr>
          <w:b/>
        </w:rPr>
        <w:t>16</w:t>
      </w:r>
      <w:r>
        <w:rPr>
          <w:b/>
        </w:rPr>
        <w:t>)</w:t>
      </w:r>
      <w:r w:rsidRPr="0028752F">
        <w:rPr>
          <w:b/>
        </w:rPr>
        <w:t xml:space="preserve"> </w:t>
      </w:r>
      <w:r w:rsidR="007272E3">
        <w:rPr>
          <w:b/>
        </w:rPr>
        <w:t>Phases, Contexts, Examples</w:t>
      </w:r>
      <w:r w:rsidR="00F554F4">
        <w:rPr>
          <w:b/>
        </w:rPr>
        <w:t xml:space="preserve"> (</w:t>
      </w:r>
      <w:r w:rsidR="007106C1">
        <w:rPr>
          <w:b/>
        </w:rPr>
        <w:t>AN</w:t>
      </w:r>
      <w:r w:rsidR="00F554F4">
        <w:rPr>
          <w:b/>
        </w:rPr>
        <w:t>)</w:t>
      </w:r>
    </w:p>
    <w:p w:rsidR="00A16FFF" w:rsidRDefault="00B82408" w:rsidP="00A45115">
      <w:pPr>
        <w:ind w:left="720"/>
      </w:pPr>
      <w:r>
        <w:t>a</w:t>
      </w:r>
      <w:r w:rsidR="00A31777">
        <w:t xml:space="preserve">. </w:t>
      </w:r>
      <w:r>
        <w:t xml:space="preserve">Description of </w:t>
      </w:r>
      <w:r w:rsidR="00E74865">
        <w:t>t</w:t>
      </w:r>
      <w:r w:rsidR="00A16FFF">
        <w:t>rial phases (</w:t>
      </w:r>
      <w:r w:rsidR="003A0406" w:rsidRPr="003A0406">
        <w:t>Phase 0,</w:t>
      </w:r>
      <w:r w:rsidR="007272E3">
        <w:t xml:space="preserve"> </w:t>
      </w:r>
      <w:r w:rsidR="00A16FFF">
        <w:t>Phase I, II, III, and IV)</w:t>
      </w:r>
    </w:p>
    <w:p w:rsidR="008C2399" w:rsidRDefault="00B82408" w:rsidP="00A16FFF">
      <w:pPr>
        <w:ind w:left="720"/>
      </w:pPr>
      <w:r>
        <w:t>b</w:t>
      </w:r>
      <w:r w:rsidR="00A16FFF">
        <w:t>. Trial contexts</w:t>
      </w:r>
      <w:r w:rsidR="00894670">
        <w:t xml:space="preserve"> (types of trials: pharm</w:t>
      </w:r>
      <w:r w:rsidR="00147F27">
        <w:t>a</w:t>
      </w:r>
      <w:r w:rsidR="00894670">
        <w:t>, devices, etc.)</w:t>
      </w:r>
    </w:p>
    <w:p w:rsidR="00895100" w:rsidRDefault="001B767A" w:rsidP="001B767A">
      <w:r>
        <w:tab/>
      </w:r>
      <w:r w:rsidR="00B82408">
        <w:t>c</w:t>
      </w:r>
      <w:r w:rsidR="001E01A3">
        <w:t xml:space="preserve">. </w:t>
      </w:r>
      <w:r w:rsidR="00B82408">
        <w:t xml:space="preserve">Trial </w:t>
      </w:r>
      <w:r w:rsidR="00894670">
        <w:t>e</w:t>
      </w:r>
      <w:r w:rsidR="00B82408">
        <w:t>xamples</w:t>
      </w:r>
    </w:p>
    <w:p w:rsidR="005F3729" w:rsidRDefault="005F3729" w:rsidP="00A31777">
      <w:pPr>
        <w:ind w:left="720"/>
      </w:pPr>
    </w:p>
    <w:p w:rsidR="00EB516D" w:rsidRDefault="00EB516D" w:rsidP="00EB516D">
      <w:r w:rsidRPr="0028752F">
        <w:rPr>
          <w:b/>
        </w:rPr>
        <w:t xml:space="preserve">Week </w:t>
      </w:r>
      <w:r>
        <w:rPr>
          <w:b/>
        </w:rPr>
        <w:t>3 (</w:t>
      </w:r>
      <w:r w:rsidR="005079EA">
        <w:rPr>
          <w:b/>
        </w:rPr>
        <w:t>1</w:t>
      </w:r>
      <w:r>
        <w:rPr>
          <w:b/>
        </w:rPr>
        <w:t>/</w:t>
      </w:r>
      <w:r w:rsidR="007106C1">
        <w:rPr>
          <w:b/>
        </w:rPr>
        <w:t>23</w:t>
      </w:r>
      <w:r>
        <w:rPr>
          <w:b/>
        </w:rPr>
        <w:t>)</w:t>
      </w:r>
      <w:r w:rsidRPr="0028752F">
        <w:rPr>
          <w:b/>
        </w:rPr>
        <w:t xml:space="preserve"> </w:t>
      </w:r>
      <w:r w:rsidR="00F554F4">
        <w:rPr>
          <w:b/>
        </w:rPr>
        <w:t>Study Protocol (MD)</w:t>
      </w:r>
    </w:p>
    <w:p w:rsidR="00EB516D" w:rsidRDefault="00EB516D" w:rsidP="00EB516D">
      <w:pPr>
        <w:ind w:left="720"/>
      </w:pPr>
      <w:r>
        <w:t>a. Introduction, background, Objectives</w:t>
      </w:r>
    </w:p>
    <w:p w:rsidR="00EB516D" w:rsidRDefault="00EB516D" w:rsidP="00EB516D">
      <w:pPr>
        <w:ind w:left="720"/>
      </w:pPr>
      <w:r>
        <w:t>b. Eligibility, Design, Randomization</w:t>
      </w:r>
    </w:p>
    <w:p w:rsidR="00EB516D" w:rsidRDefault="00EB516D" w:rsidP="00EB516D">
      <w:pPr>
        <w:ind w:left="720"/>
      </w:pPr>
      <w:r>
        <w:t>c. Intervention details, assessments and data collection, case report forms</w:t>
      </w:r>
    </w:p>
    <w:p w:rsidR="00EB516D" w:rsidRDefault="00EB516D" w:rsidP="00EB516D">
      <w:pPr>
        <w:ind w:left="720"/>
      </w:pPr>
      <w:r>
        <w:t>d. Violations</w:t>
      </w:r>
    </w:p>
    <w:p w:rsidR="00EB516D" w:rsidRDefault="00EB516D" w:rsidP="00EB516D">
      <w:pPr>
        <w:ind w:left="720"/>
      </w:pPr>
      <w:r>
        <w:t xml:space="preserve">e. </w:t>
      </w:r>
      <w:r w:rsidRPr="00AA4C42">
        <w:t>Amendments</w:t>
      </w:r>
    </w:p>
    <w:p w:rsidR="00EB516D" w:rsidRDefault="00EB516D" w:rsidP="00A31777">
      <w:pPr>
        <w:rPr>
          <w:b/>
        </w:rPr>
      </w:pPr>
    </w:p>
    <w:p w:rsidR="005079EA" w:rsidRDefault="005079EA" w:rsidP="005079EA">
      <w:pPr>
        <w:rPr>
          <w:b/>
        </w:rPr>
      </w:pPr>
      <w:r w:rsidRPr="005105BA">
        <w:rPr>
          <w:b/>
        </w:rPr>
        <w:t xml:space="preserve">Week </w:t>
      </w:r>
      <w:r>
        <w:rPr>
          <w:b/>
        </w:rPr>
        <w:t>4 (</w:t>
      </w:r>
      <w:r w:rsidR="007106C1">
        <w:rPr>
          <w:b/>
        </w:rPr>
        <w:t>1/30</w:t>
      </w:r>
      <w:r>
        <w:rPr>
          <w:b/>
        </w:rPr>
        <w:t>)</w:t>
      </w:r>
      <w:r w:rsidRPr="0028752F">
        <w:rPr>
          <w:b/>
        </w:rPr>
        <w:t xml:space="preserve"> </w:t>
      </w:r>
      <w:proofErr w:type="gramStart"/>
      <w:r w:rsidRPr="005105BA">
        <w:rPr>
          <w:b/>
        </w:rPr>
        <w:t>The</w:t>
      </w:r>
      <w:proofErr w:type="gramEnd"/>
      <w:r w:rsidRPr="005105BA">
        <w:rPr>
          <w:b/>
        </w:rPr>
        <w:t xml:space="preserve"> Study </w:t>
      </w:r>
      <w:r>
        <w:rPr>
          <w:b/>
        </w:rPr>
        <w:t>Population and C</w:t>
      </w:r>
      <w:r w:rsidRPr="005105BA">
        <w:rPr>
          <w:b/>
        </w:rPr>
        <w:t>ohort</w:t>
      </w:r>
      <w:r>
        <w:rPr>
          <w:b/>
        </w:rPr>
        <w:t xml:space="preserve"> </w:t>
      </w:r>
      <w:r w:rsidR="00F554F4">
        <w:rPr>
          <w:b/>
        </w:rPr>
        <w:t>(</w:t>
      </w:r>
      <w:r w:rsidR="007106C1">
        <w:rPr>
          <w:b/>
        </w:rPr>
        <w:t>TJ</w:t>
      </w:r>
      <w:r w:rsidR="00F554F4">
        <w:rPr>
          <w:b/>
        </w:rPr>
        <w:t>)</w:t>
      </w:r>
    </w:p>
    <w:p w:rsidR="005079EA" w:rsidRDefault="005079EA" w:rsidP="005079EA">
      <w:r>
        <w:rPr>
          <w:b/>
        </w:rPr>
        <w:t xml:space="preserve">       </w:t>
      </w:r>
      <w:r>
        <w:rPr>
          <w:b/>
        </w:rPr>
        <w:tab/>
      </w:r>
      <w:r w:rsidRPr="000C0DD0">
        <w:t>a.</w:t>
      </w:r>
      <w:r>
        <w:rPr>
          <w:b/>
        </w:rPr>
        <w:t xml:space="preserve"> </w:t>
      </w:r>
      <w:r>
        <w:t>Study population</w:t>
      </w:r>
    </w:p>
    <w:p w:rsidR="005079EA" w:rsidRPr="00EB516D" w:rsidRDefault="005079EA" w:rsidP="005079EA">
      <w:r>
        <w:rPr>
          <w:b/>
        </w:rPr>
        <w:tab/>
      </w:r>
      <w:r>
        <w:t xml:space="preserve">b. Study </w:t>
      </w:r>
      <w:r w:rsidR="007272E3">
        <w:t>c</w:t>
      </w:r>
      <w:r>
        <w:t>ohort</w:t>
      </w:r>
    </w:p>
    <w:p w:rsidR="005079EA" w:rsidRDefault="005079EA" w:rsidP="005079EA">
      <w:pPr>
        <w:ind w:left="720"/>
      </w:pPr>
      <w:r>
        <w:t>c. Recruitment</w:t>
      </w:r>
      <w:r w:rsidR="007272E3">
        <w:t xml:space="preserve"> (planning, strategies, and sources)</w:t>
      </w:r>
    </w:p>
    <w:p w:rsidR="005079EA" w:rsidRDefault="005079EA" w:rsidP="005079EA">
      <w:pPr>
        <w:ind w:left="720"/>
      </w:pPr>
      <w:r>
        <w:t>d. Accrual</w:t>
      </w:r>
      <w:r w:rsidR="007272E3">
        <w:t xml:space="preserve"> (problems and solutions)</w:t>
      </w:r>
    </w:p>
    <w:p w:rsidR="005079EA" w:rsidRDefault="005079EA" w:rsidP="005079EA">
      <w:pPr>
        <w:ind w:left="720"/>
      </w:pPr>
      <w:r>
        <w:t>e. Inclusiveness and Representation</w:t>
      </w:r>
    </w:p>
    <w:p w:rsidR="002C6CFC" w:rsidRDefault="002C6CFC" w:rsidP="005079EA">
      <w:pPr>
        <w:ind w:left="720"/>
        <w:rPr>
          <w:b/>
        </w:rPr>
      </w:pPr>
    </w:p>
    <w:p w:rsidR="00A45115" w:rsidRDefault="0028752F" w:rsidP="005079EA">
      <w:pPr>
        <w:rPr>
          <w:b/>
        </w:rPr>
      </w:pPr>
      <w:r w:rsidRPr="0028752F">
        <w:rPr>
          <w:b/>
        </w:rPr>
        <w:t>Week</w:t>
      </w:r>
      <w:r w:rsidR="005105BA">
        <w:rPr>
          <w:b/>
        </w:rPr>
        <w:t>s</w:t>
      </w:r>
      <w:r w:rsidRPr="0028752F">
        <w:rPr>
          <w:b/>
        </w:rPr>
        <w:t xml:space="preserve"> </w:t>
      </w:r>
      <w:r w:rsidR="005079EA">
        <w:rPr>
          <w:b/>
        </w:rPr>
        <w:t>5</w:t>
      </w:r>
      <w:r w:rsidR="00210456">
        <w:rPr>
          <w:b/>
        </w:rPr>
        <w:t>-</w:t>
      </w:r>
      <w:r w:rsidR="005079EA">
        <w:rPr>
          <w:b/>
        </w:rPr>
        <w:t>6</w:t>
      </w:r>
      <w:r w:rsidR="00A1615B">
        <w:rPr>
          <w:b/>
        </w:rPr>
        <w:t xml:space="preserve"> (</w:t>
      </w:r>
      <w:r w:rsidR="005079EA">
        <w:rPr>
          <w:b/>
        </w:rPr>
        <w:t>2/</w:t>
      </w:r>
      <w:r w:rsidR="007106C1">
        <w:rPr>
          <w:b/>
        </w:rPr>
        <w:t>6</w:t>
      </w:r>
      <w:r w:rsidR="001B767A">
        <w:rPr>
          <w:b/>
        </w:rPr>
        <w:t xml:space="preserve">, </w:t>
      </w:r>
      <w:r w:rsidR="005079EA">
        <w:rPr>
          <w:b/>
        </w:rPr>
        <w:t>2/</w:t>
      </w:r>
      <w:r w:rsidR="001F6B00">
        <w:rPr>
          <w:b/>
        </w:rPr>
        <w:t>1</w:t>
      </w:r>
      <w:r w:rsidR="007106C1">
        <w:rPr>
          <w:b/>
        </w:rPr>
        <w:t>3</w:t>
      </w:r>
      <w:r w:rsidR="00A1615B">
        <w:rPr>
          <w:b/>
        </w:rPr>
        <w:t>)</w:t>
      </w:r>
      <w:r w:rsidR="00A45115" w:rsidRPr="0028752F">
        <w:rPr>
          <w:b/>
        </w:rPr>
        <w:t xml:space="preserve"> </w:t>
      </w:r>
      <w:r w:rsidR="000C0DD0">
        <w:rPr>
          <w:b/>
        </w:rPr>
        <w:t>Study/</w:t>
      </w:r>
      <w:r w:rsidR="00E664E0">
        <w:rPr>
          <w:b/>
        </w:rPr>
        <w:t>Trial</w:t>
      </w:r>
      <w:r w:rsidR="00A45115" w:rsidRPr="0028752F">
        <w:rPr>
          <w:b/>
        </w:rPr>
        <w:t xml:space="preserve"> </w:t>
      </w:r>
      <w:r w:rsidR="007106C1">
        <w:rPr>
          <w:b/>
        </w:rPr>
        <w:t>D</w:t>
      </w:r>
      <w:r w:rsidR="00A45115" w:rsidRPr="0028752F">
        <w:rPr>
          <w:b/>
        </w:rPr>
        <w:t>esign</w:t>
      </w:r>
      <w:r w:rsidR="00F554F4">
        <w:rPr>
          <w:b/>
        </w:rPr>
        <w:t xml:space="preserve"> (TJ/AN)</w:t>
      </w:r>
    </w:p>
    <w:p w:rsidR="000C0DD0" w:rsidRDefault="000C0DD0" w:rsidP="00A31777">
      <w:r>
        <w:rPr>
          <w:b/>
        </w:rPr>
        <w:t xml:space="preserve">           </w:t>
      </w:r>
      <w:r>
        <w:rPr>
          <w:b/>
        </w:rPr>
        <w:tab/>
      </w:r>
      <w:r w:rsidR="00EB516D">
        <w:t>a. Phase I designs</w:t>
      </w:r>
    </w:p>
    <w:p w:rsidR="00EB516D" w:rsidRPr="002A5F86" w:rsidRDefault="00EB516D" w:rsidP="00A31777">
      <w:r w:rsidRPr="002A5F86">
        <w:tab/>
      </w:r>
      <w:r w:rsidRPr="002A5F86">
        <w:tab/>
        <w:t>i.  Dose-finding designs</w:t>
      </w:r>
    </w:p>
    <w:p w:rsidR="00EB516D" w:rsidRPr="002A5F86" w:rsidRDefault="00EB516D" w:rsidP="00A31777">
      <w:r w:rsidRPr="002A5F86">
        <w:tab/>
        <w:t>b. Phase II designs</w:t>
      </w:r>
    </w:p>
    <w:p w:rsidR="00EB516D" w:rsidRPr="002A5F86" w:rsidRDefault="00EB516D" w:rsidP="00A31777">
      <w:r w:rsidRPr="002A5F86">
        <w:tab/>
      </w:r>
      <w:r w:rsidRPr="002A5F86">
        <w:tab/>
        <w:t>i.  Pilot studies</w:t>
      </w:r>
    </w:p>
    <w:p w:rsidR="00EB516D" w:rsidRPr="002A5F86" w:rsidRDefault="00EB516D" w:rsidP="00A31777">
      <w:r w:rsidRPr="002A5F86">
        <w:tab/>
      </w:r>
      <w:r w:rsidRPr="002A5F86">
        <w:tab/>
        <w:t>ii. Single arm</w:t>
      </w:r>
    </w:p>
    <w:p w:rsidR="00EB516D" w:rsidRPr="002A5F86" w:rsidRDefault="00EB516D" w:rsidP="00A31777">
      <w:r w:rsidRPr="002A5F86">
        <w:tab/>
      </w:r>
      <w:r w:rsidRPr="002A5F86">
        <w:tab/>
        <w:t>iii.Historical control designs</w:t>
      </w:r>
    </w:p>
    <w:p w:rsidR="00EB516D" w:rsidRDefault="00EB516D" w:rsidP="00A31777">
      <w:r w:rsidRPr="002A5F86">
        <w:tab/>
      </w:r>
      <w:proofErr w:type="gramStart"/>
      <w:r w:rsidRPr="002A5F86">
        <w:t>c</w:t>
      </w:r>
      <w:proofErr w:type="gramEnd"/>
      <w:r w:rsidRPr="002A5F86">
        <w:t>. Phase III designs</w:t>
      </w:r>
    </w:p>
    <w:p w:rsidR="00EB516D" w:rsidRPr="002A5F86" w:rsidRDefault="00EB516D" w:rsidP="00A31777">
      <w:r w:rsidRPr="002A5F86">
        <w:tab/>
      </w:r>
      <w:r w:rsidRPr="002A5F86">
        <w:tab/>
      </w:r>
      <w:proofErr w:type="gramStart"/>
      <w:r w:rsidRPr="002A5F86">
        <w:t>i.  Factorial</w:t>
      </w:r>
      <w:proofErr w:type="gramEnd"/>
      <w:r w:rsidRPr="002A5F86">
        <w:t xml:space="preserve"> designs</w:t>
      </w:r>
    </w:p>
    <w:p w:rsidR="00EB516D" w:rsidRPr="002A5F86" w:rsidRDefault="00EB516D" w:rsidP="00A31777">
      <w:r w:rsidRPr="002A5F86">
        <w:tab/>
      </w:r>
      <w:r w:rsidRPr="002A5F86">
        <w:tab/>
        <w:t>ii. Crossover designs</w:t>
      </w:r>
    </w:p>
    <w:p w:rsidR="00EB516D" w:rsidRDefault="00EB516D" w:rsidP="00A31777">
      <w:r w:rsidRPr="002A5F86">
        <w:tab/>
      </w:r>
      <w:r w:rsidRPr="002A5F86">
        <w:tab/>
      </w:r>
      <w:proofErr w:type="spellStart"/>
      <w:proofErr w:type="gramStart"/>
      <w:r w:rsidRPr="002A5F86">
        <w:t>iii.Multicenter</w:t>
      </w:r>
      <w:proofErr w:type="spellEnd"/>
      <w:proofErr w:type="gramEnd"/>
      <w:r w:rsidRPr="002A5F86">
        <w:t xml:space="preserve"> studies</w:t>
      </w:r>
    </w:p>
    <w:p w:rsidR="007106C1" w:rsidRPr="002A5F86" w:rsidRDefault="007106C1" w:rsidP="007106C1">
      <w:pPr>
        <w:ind w:firstLine="720"/>
      </w:pPr>
      <w:r>
        <w:t>d. Pilot studies</w:t>
      </w:r>
    </w:p>
    <w:p w:rsidR="00EB516D" w:rsidRDefault="00EB516D" w:rsidP="00EB516D">
      <w:r w:rsidRPr="002A5F86">
        <w:tab/>
      </w:r>
      <w:proofErr w:type="gramStart"/>
      <w:r w:rsidR="007106C1">
        <w:t>e</w:t>
      </w:r>
      <w:proofErr w:type="gramEnd"/>
      <w:r w:rsidRPr="002A5F86">
        <w:t>. Phase IV designs</w:t>
      </w:r>
    </w:p>
    <w:p w:rsidR="007106C1" w:rsidRPr="002A5F86" w:rsidRDefault="007106C1" w:rsidP="00EB516D"/>
    <w:p w:rsidR="003E6E75" w:rsidRPr="005105BA" w:rsidRDefault="003E6E75" w:rsidP="003E6E75">
      <w:pPr>
        <w:rPr>
          <w:b/>
        </w:rPr>
      </w:pPr>
      <w:r w:rsidRPr="005105BA">
        <w:rPr>
          <w:b/>
        </w:rPr>
        <w:t xml:space="preserve">Week </w:t>
      </w:r>
      <w:r w:rsidR="005079EA">
        <w:rPr>
          <w:b/>
        </w:rPr>
        <w:t>7</w:t>
      </w:r>
      <w:r w:rsidR="001B767A">
        <w:rPr>
          <w:b/>
        </w:rPr>
        <w:t xml:space="preserve"> (2/</w:t>
      </w:r>
      <w:r w:rsidR="001F6B00">
        <w:rPr>
          <w:b/>
        </w:rPr>
        <w:t>2</w:t>
      </w:r>
      <w:r w:rsidR="007106C1">
        <w:rPr>
          <w:b/>
        </w:rPr>
        <w:t>0</w:t>
      </w:r>
      <w:r w:rsidR="001B767A">
        <w:rPr>
          <w:b/>
        </w:rPr>
        <w:t>)</w:t>
      </w:r>
      <w:r w:rsidR="001B767A" w:rsidRPr="0028752F">
        <w:rPr>
          <w:b/>
        </w:rPr>
        <w:t xml:space="preserve"> </w:t>
      </w:r>
      <w:r w:rsidRPr="005105BA">
        <w:rPr>
          <w:b/>
        </w:rPr>
        <w:t>Treatment Allocation</w:t>
      </w:r>
      <w:r w:rsidR="00F554F4">
        <w:rPr>
          <w:b/>
        </w:rPr>
        <w:t xml:space="preserve"> (TJ)</w:t>
      </w:r>
    </w:p>
    <w:p w:rsidR="003E6E75" w:rsidRDefault="00CA59DF" w:rsidP="003E6E75">
      <w:pPr>
        <w:ind w:left="720"/>
      </w:pPr>
      <w:r>
        <w:t>a</w:t>
      </w:r>
      <w:r w:rsidR="003E6E75">
        <w:t>. Randomization</w:t>
      </w:r>
    </w:p>
    <w:p w:rsidR="007923AA" w:rsidRDefault="00CA59DF" w:rsidP="007923AA">
      <w:pPr>
        <w:ind w:left="720"/>
      </w:pPr>
      <w:r>
        <w:t xml:space="preserve">            i. Simple</w:t>
      </w:r>
      <w:r w:rsidR="007923AA">
        <w:t xml:space="preserve"> </w:t>
      </w:r>
    </w:p>
    <w:p w:rsidR="00CA59DF" w:rsidRDefault="007923AA" w:rsidP="007923AA">
      <w:r>
        <w:t xml:space="preserve">                       </w:t>
      </w:r>
      <w:r w:rsidR="003E6E75">
        <w:t>ii. Block</w:t>
      </w:r>
      <w:r w:rsidR="00CA59DF">
        <w:t>ed</w:t>
      </w:r>
    </w:p>
    <w:p w:rsidR="00CA59DF" w:rsidRDefault="00CA59DF" w:rsidP="00CA59DF">
      <w:pPr>
        <w:tabs>
          <w:tab w:val="left" w:pos="1620"/>
        </w:tabs>
        <w:ind w:firstLine="720"/>
      </w:pPr>
      <w:r>
        <w:lastRenderedPageBreak/>
        <w:t xml:space="preserve">          iii. S</w:t>
      </w:r>
      <w:r w:rsidR="003E6E75">
        <w:t>tratif</w:t>
      </w:r>
      <w:r>
        <w:t>ied</w:t>
      </w:r>
    </w:p>
    <w:p w:rsidR="003F4E41" w:rsidRDefault="00CA59DF" w:rsidP="003F4E41">
      <w:pPr>
        <w:tabs>
          <w:tab w:val="left" w:pos="720"/>
        </w:tabs>
      </w:pPr>
      <w:r>
        <w:t xml:space="preserve">    </w:t>
      </w:r>
      <w:r>
        <w:tab/>
        <w:t xml:space="preserve">b. Adaptive </w:t>
      </w:r>
      <w:r w:rsidR="00FD4767">
        <w:t>allocation</w:t>
      </w:r>
    </w:p>
    <w:p w:rsidR="003F4E41" w:rsidRDefault="00CA59DF" w:rsidP="003F4E41">
      <w:pPr>
        <w:tabs>
          <w:tab w:val="left" w:pos="720"/>
          <w:tab w:val="left" w:pos="990"/>
        </w:tabs>
      </w:pPr>
      <w:r>
        <w:t xml:space="preserve">            c. Masking</w:t>
      </w:r>
    </w:p>
    <w:p w:rsidR="00E664E0" w:rsidRDefault="00E664E0" w:rsidP="003E6E75">
      <w:pPr>
        <w:ind w:left="1440"/>
      </w:pPr>
    </w:p>
    <w:p w:rsidR="007106C1" w:rsidRPr="00B71F06" w:rsidRDefault="00152F1B" w:rsidP="007106C1">
      <w:r w:rsidRPr="00B71F06">
        <w:rPr>
          <w:b/>
        </w:rPr>
        <w:t>Week 8 (2/2</w:t>
      </w:r>
      <w:r w:rsidR="007106C1">
        <w:rPr>
          <w:b/>
        </w:rPr>
        <w:t>7</w:t>
      </w:r>
      <w:r w:rsidRPr="00B71F06">
        <w:rPr>
          <w:b/>
        </w:rPr>
        <w:t xml:space="preserve">) </w:t>
      </w:r>
      <w:r w:rsidR="007106C1" w:rsidRPr="00B71F06">
        <w:rPr>
          <w:b/>
        </w:rPr>
        <w:t>Statistical Perspective (</w:t>
      </w:r>
      <w:r w:rsidR="007106C1">
        <w:rPr>
          <w:b/>
        </w:rPr>
        <w:t>TJ</w:t>
      </w:r>
      <w:r w:rsidR="007106C1" w:rsidRPr="00B71F06">
        <w:rPr>
          <w:b/>
        </w:rPr>
        <w:t>)</w:t>
      </w:r>
    </w:p>
    <w:p w:rsidR="007106C1" w:rsidRPr="00B71F06" w:rsidRDefault="007106C1" w:rsidP="007106C1">
      <w:pPr>
        <w:ind w:left="720"/>
      </w:pPr>
      <w:r w:rsidRPr="00B71F06">
        <w:t>a. Philosophy</w:t>
      </w:r>
    </w:p>
    <w:p w:rsidR="007106C1" w:rsidRPr="00B71F06" w:rsidRDefault="007106C1" w:rsidP="007106C1">
      <w:pPr>
        <w:ind w:left="720"/>
      </w:pPr>
      <w:r w:rsidRPr="00B71F06">
        <w:t>b. Bayesian vs. Frequentist</w:t>
      </w:r>
      <w:r w:rsidRPr="00B71F06">
        <w:tab/>
      </w:r>
    </w:p>
    <w:p w:rsidR="007106C1" w:rsidRDefault="007106C1" w:rsidP="00152F1B">
      <w:pPr>
        <w:rPr>
          <w:b/>
        </w:rPr>
      </w:pPr>
    </w:p>
    <w:p w:rsidR="007106C1" w:rsidRDefault="007106C1" w:rsidP="007106C1">
      <w:pPr>
        <w:rPr>
          <w:b/>
        </w:rPr>
      </w:pPr>
      <w:r w:rsidRPr="00B71F06">
        <w:rPr>
          <w:b/>
        </w:rPr>
        <w:t>Week 9 (3/</w:t>
      </w:r>
      <w:r>
        <w:rPr>
          <w:b/>
        </w:rPr>
        <w:t>6)</w:t>
      </w:r>
      <w:r w:rsidRPr="00B71F06">
        <w:rPr>
          <w:b/>
        </w:rPr>
        <w:t xml:space="preserve"> SPRING BREAK – NO CLASS</w:t>
      </w:r>
    </w:p>
    <w:p w:rsidR="007106C1" w:rsidRPr="00B71F06" w:rsidRDefault="007106C1" w:rsidP="007106C1">
      <w:pPr>
        <w:rPr>
          <w:b/>
        </w:rPr>
      </w:pPr>
    </w:p>
    <w:p w:rsidR="007106C1" w:rsidRPr="00B71F06" w:rsidRDefault="007106C1" w:rsidP="007106C1">
      <w:pPr>
        <w:rPr>
          <w:b/>
        </w:rPr>
      </w:pPr>
      <w:r w:rsidRPr="00B71F06">
        <w:rPr>
          <w:b/>
        </w:rPr>
        <w:t>Week 10 (3/1</w:t>
      </w:r>
      <w:r>
        <w:rPr>
          <w:b/>
        </w:rPr>
        <w:t>3</w:t>
      </w:r>
      <w:r w:rsidRPr="00B71F06">
        <w:rPr>
          <w:b/>
        </w:rPr>
        <w:t>) Research Question and Outcomes</w:t>
      </w:r>
      <w:r>
        <w:rPr>
          <w:b/>
        </w:rPr>
        <w:t xml:space="preserve"> (MD</w:t>
      </w:r>
      <w:r w:rsidRPr="00B71F06">
        <w:rPr>
          <w:b/>
        </w:rPr>
        <w:t>)</w:t>
      </w:r>
    </w:p>
    <w:p w:rsidR="007106C1" w:rsidRPr="00B71F06" w:rsidRDefault="007106C1" w:rsidP="007106C1">
      <w:pPr>
        <w:numPr>
          <w:ilvl w:val="0"/>
          <w:numId w:val="7"/>
        </w:numPr>
      </w:pPr>
      <w:r w:rsidRPr="00B71F06">
        <w:t>Research Question</w:t>
      </w:r>
    </w:p>
    <w:p w:rsidR="007106C1" w:rsidRPr="00B71F06" w:rsidRDefault="007106C1" w:rsidP="007106C1">
      <w:pPr>
        <w:numPr>
          <w:ilvl w:val="0"/>
          <w:numId w:val="7"/>
        </w:numPr>
      </w:pPr>
      <w:r w:rsidRPr="00B71F06">
        <w:t>Surrogate Outcomes</w:t>
      </w:r>
    </w:p>
    <w:p w:rsidR="007106C1" w:rsidRPr="00B71F06" w:rsidRDefault="007106C1" w:rsidP="007106C1">
      <w:pPr>
        <w:ind w:left="720"/>
      </w:pPr>
    </w:p>
    <w:p w:rsidR="00152F1B" w:rsidRPr="00B71F06" w:rsidRDefault="007106C1" w:rsidP="00152F1B">
      <w:pPr>
        <w:rPr>
          <w:b/>
        </w:rPr>
      </w:pPr>
      <w:r w:rsidRPr="00B71F06">
        <w:rPr>
          <w:b/>
        </w:rPr>
        <w:t>Week 11 (3/2</w:t>
      </w:r>
      <w:r>
        <w:rPr>
          <w:b/>
        </w:rPr>
        <w:t>0</w:t>
      </w:r>
      <w:r w:rsidRPr="00B71F06">
        <w:rPr>
          <w:b/>
        </w:rPr>
        <w:t xml:space="preserve">) </w:t>
      </w:r>
      <w:bookmarkStart w:id="0" w:name="_GoBack"/>
      <w:bookmarkEnd w:id="0"/>
      <w:r w:rsidR="00152F1B" w:rsidRPr="00B71F06">
        <w:rPr>
          <w:b/>
        </w:rPr>
        <w:t>Measurement and Data Capture (MD)</w:t>
      </w:r>
    </w:p>
    <w:p w:rsidR="00152F1B" w:rsidRPr="00B71F06" w:rsidRDefault="00152F1B" w:rsidP="00152F1B">
      <w:pPr>
        <w:ind w:left="720"/>
      </w:pPr>
      <w:r w:rsidRPr="00B71F06">
        <w:t>a. Measures and endpoints</w:t>
      </w:r>
    </w:p>
    <w:p w:rsidR="00152F1B" w:rsidRPr="00B71F06" w:rsidRDefault="00152F1B" w:rsidP="00152F1B">
      <w:pPr>
        <w:ind w:left="720"/>
      </w:pPr>
      <w:r w:rsidRPr="00B71F06">
        <w:t>b. Required observations</w:t>
      </w:r>
    </w:p>
    <w:p w:rsidR="00152F1B" w:rsidRPr="00B71F06" w:rsidRDefault="00152F1B" w:rsidP="00152F1B">
      <w:pPr>
        <w:ind w:left="720"/>
      </w:pPr>
      <w:r w:rsidRPr="00B71F06">
        <w:t>c. Types of measures</w:t>
      </w:r>
    </w:p>
    <w:p w:rsidR="00152F1B" w:rsidRPr="00B71F06" w:rsidRDefault="00152F1B" w:rsidP="00152F1B">
      <w:pPr>
        <w:ind w:left="720"/>
      </w:pPr>
      <w:r w:rsidRPr="00B71F06">
        <w:t>d. baseline measurements</w:t>
      </w:r>
    </w:p>
    <w:p w:rsidR="00152F1B" w:rsidRPr="00B71F06" w:rsidRDefault="00152F1B" w:rsidP="00152F1B">
      <w:pPr>
        <w:ind w:left="720"/>
      </w:pPr>
      <w:r w:rsidRPr="00B71F06">
        <w:t>e. Case report forms</w:t>
      </w:r>
    </w:p>
    <w:p w:rsidR="00152F1B" w:rsidRPr="00B71F06" w:rsidRDefault="00152F1B" w:rsidP="00152F1B">
      <w:pPr>
        <w:ind w:left="720"/>
      </w:pPr>
      <w:r w:rsidRPr="00B71F06">
        <w:t>f. Data collection</w:t>
      </w:r>
    </w:p>
    <w:p w:rsidR="00152F1B" w:rsidRPr="00B71F06" w:rsidRDefault="00152F1B" w:rsidP="00152F1B">
      <w:pPr>
        <w:ind w:left="1440"/>
      </w:pPr>
      <w:r w:rsidRPr="00B71F06">
        <w:t>i. Paper or electronic</w:t>
      </w:r>
    </w:p>
    <w:p w:rsidR="00152F1B" w:rsidRPr="00B71F06" w:rsidRDefault="00152F1B" w:rsidP="00152F1B">
      <w:pPr>
        <w:ind w:left="1440"/>
      </w:pPr>
      <w:r w:rsidRPr="00B71F06">
        <w:t>ii. Parsimony</w:t>
      </w:r>
    </w:p>
    <w:p w:rsidR="00152F1B" w:rsidRPr="00B71F06" w:rsidRDefault="00152F1B" w:rsidP="00152F1B">
      <w:pPr>
        <w:ind w:left="720"/>
      </w:pPr>
      <w:r w:rsidRPr="00B71F06">
        <w:t>g. Database and software</w:t>
      </w:r>
    </w:p>
    <w:p w:rsidR="00152F1B" w:rsidRPr="00B71F06" w:rsidRDefault="00152F1B" w:rsidP="00152F1B">
      <w:pPr>
        <w:ind w:left="720"/>
      </w:pPr>
      <w:r w:rsidRPr="00B71F06">
        <w:t>h. Staffing and resources</w:t>
      </w:r>
    </w:p>
    <w:p w:rsidR="00152F1B" w:rsidRPr="00B71F06" w:rsidRDefault="00152F1B" w:rsidP="00152F1B">
      <w:pPr>
        <w:ind w:left="720"/>
      </w:pPr>
    </w:p>
    <w:p w:rsidR="007106C1" w:rsidRPr="00B71F06" w:rsidRDefault="007106C1" w:rsidP="007106C1">
      <w:pPr>
        <w:rPr>
          <w:b/>
        </w:rPr>
      </w:pPr>
      <w:r w:rsidRPr="00B71F06">
        <w:rPr>
          <w:b/>
        </w:rPr>
        <w:t>Week 1</w:t>
      </w:r>
      <w:r>
        <w:rPr>
          <w:b/>
        </w:rPr>
        <w:t>2</w:t>
      </w:r>
      <w:r w:rsidRPr="00B71F06">
        <w:rPr>
          <w:b/>
        </w:rPr>
        <w:t xml:space="preserve"> (</w:t>
      </w:r>
      <w:r>
        <w:rPr>
          <w:b/>
        </w:rPr>
        <w:t>3/27</w:t>
      </w:r>
      <w:r w:rsidRPr="00B71F06">
        <w:rPr>
          <w:b/>
        </w:rPr>
        <w:t>) Data Monitoring, Trial Conduct (AN)</w:t>
      </w:r>
    </w:p>
    <w:p w:rsidR="007106C1" w:rsidRPr="00B71F06" w:rsidRDefault="007106C1" w:rsidP="007106C1">
      <w:pPr>
        <w:ind w:left="720"/>
      </w:pPr>
      <w:r w:rsidRPr="00B71F06">
        <w:t>a. Data quality assurance</w:t>
      </w:r>
    </w:p>
    <w:p w:rsidR="007106C1" w:rsidRPr="00B71F06" w:rsidRDefault="007106C1" w:rsidP="007106C1">
      <w:pPr>
        <w:ind w:left="720"/>
      </w:pPr>
      <w:r w:rsidRPr="00B71F06">
        <w:t xml:space="preserve">b. Data delinquency </w:t>
      </w:r>
    </w:p>
    <w:p w:rsidR="007106C1" w:rsidRPr="00B71F06" w:rsidRDefault="007106C1" w:rsidP="007106C1">
      <w:pPr>
        <w:ind w:left="720"/>
      </w:pPr>
      <w:r w:rsidRPr="00B71F06">
        <w:t xml:space="preserve">c. Data Monitoring </w:t>
      </w:r>
    </w:p>
    <w:p w:rsidR="007106C1" w:rsidRPr="00B71F06" w:rsidRDefault="007106C1" w:rsidP="007106C1">
      <w:pPr>
        <w:ind w:left="720"/>
      </w:pPr>
      <w:r w:rsidRPr="00B71F06">
        <w:t>d. Trial Conduct</w:t>
      </w:r>
    </w:p>
    <w:p w:rsidR="007106C1" w:rsidRPr="00B71F06" w:rsidRDefault="007106C1" w:rsidP="007106C1">
      <w:pPr>
        <w:ind w:left="720"/>
        <w:rPr>
          <w:b/>
        </w:rPr>
      </w:pPr>
      <w:r w:rsidRPr="00B71F06">
        <w:t>e. Occurrence and control of variation and bias</w:t>
      </w:r>
    </w:p>
    <w:p w:rsidR="00490EEF" w:rsidRPr="00B71F06" w:rsidRDefault="00490EEF" w:rsidP="00490EEF"/>
    <w:p w:rsidR="00FE6029" w:rsidRDefault="00FE6029" w:rsidP="00FE6029">
      <w:pPr>
        <w:rPr>
          <w:b/>
        </w:rPr>
      </w:pPr>
      <w:r>
        <w:rPr>
          <w:b/>
        </w:rPr>
        <w:t>Week 13</w:t>
      </w:r>
      <w:r w:rsidRPr="00B71F06">
        <w:rPr>
          <w:b/>
        </w:rPr>
        <w:t xml:space="preserve"> (4/</w:t>
      </w:r>
      <w:r>
        <w:rPr>
          <w:b/>
        </w:rPr>
        <w:t>3</w:t>
      </w:r>
      <w:r w:rsidRPr="00B71F06">
        <w:rPr>
          <w:b/>
        </w:rPr>
        <w:t>) Introduc</w:t>
      </w:r>
      <w:r>
        <w:rPr>
          <w:b/>
        </w:rPr>
        <w:t>tion to Power and Sample Size (AN</w:t>
      </w:r>
      <w:r w:rsidRPr="00B71F06">
        <w:rPr>
          <w:b/>
        </w:rPr>
        <w:t>)</w:t>
      </w:r>
    </w:p>
    <w:p w:rsidR="00FE6029" w:rsidRDefault="00FE6029" w:rsidP="00FE6029">
      <w:pPr>
        <w:numPr>
          <w:ilvl w:val="0"/>
          <w:numId w:val="8"/>
        </w:numPr>
      </w:pPr>
      <w:r w:rsidRPr="000C0DD0">
        <w:t>Hypothesis testing</w:t>
      </w:r>
    </w:p>
    <w:p w:rsidR="00FE6029" w:rsidRDefault="00FE6029" w:rsidP="00FE6029">
      <w:pPr>
        <w:numPr>
          <w:ilvl w:val="0"/>
          <w:numId w:val="8"/>
        </w:numPr>
      </w:pPr>
      <w:r>
        <w:t>P-values, confidence intervals</w:t>
      </w:r>
    </w:p>
    <w:p w:rsidR="00FE6029" w:rsidRPr="002A5F86" w:rsidRDefault="00FE6029" w:rsidP="00FE6029">
      <w:pPr>
        <w:numPr>
          <w:ilvl w:val="0"/>
          <w:numId w:val="8"/>
        </w:numPr>
      </w:pPr>
      <w:r w:rsidRPr="002A5F86">
        <w:t>General power/sample size, estimating effect size</w:t>
      </w:r>
    </w:p>
    <w:p w:rsidR="00FE6029" w:rsidRPr="007272E3" w:rsidRDefault="00FE6029" w:rsidP="00FE6029">
      <w:pPr>
        <w:numPr>
          <w:ilvl w:val="0"/>
          <w:numId w:val="8"/>
        </w:numPr>
        <w:rPr>
          <w:b/>
        </w:rPr>
      </w:pPr>
      <w:r w:rsidRPr="002A5F86">
        <w:t>Matching</w:t>
      </w:r>
      <w:r w:rsidRPr="00915383">
        <w:t xml:space="preserve"> sample size calculations to endpoints</w:t>
      </w:r>
    </w:p>
    <w:p w:rsidR="00FE6029" w:rsidRDefault="00FE6029" w:rsidP="00FE6029">
      <w:pPr>
        <w:rPr>
          <w:b/>
        </w:rPr>
      </w:pPr>
    </w:p>
    <w:p w:rsidR="00E06389" w:rsidRPr="00B71F06" w:rsidRDefault="009E3D3C" w:rsidP="00CD137E">
      <w:pPr>
        <w:rPr>
          <w:b/>
        </w:rPr>
      </w:pPr>
      <w:r w:rsidRPr="00B71F06">
        <w:rPr>
          <w:b/>
        </w:rPr>
        <w:t xml:space="preserve">Guests Week </w:t>
      </w:r>
      <w:r w:rsidR="001E01A3" w:rsidRPr="00B71F06">
        <w:rPr>
          <w:b/>
        </w:rPr>
        <w:t>1</w:t>
      </w:r>
      <w:r w:rsidR="00FE6029">
        <w:rPr>
          <w:b/>
        </w:rPr>
        <w:t>4</w:t>
      </w:r>
      <w:r w:rsidR="001B767A" w:rsidRPr="00B71F06">
        <w:rPr>
          <w:b/>
        </w:rPr>
        <w:t xml:space="preserve"> (</w:t>
      </w:r>
      <w:r w:rsidR="00FE6029">
        <w:rPr>
          <w:b/>
        </w:rPr>
        <w:t>4/10</w:t>
      </w:r>
      <w:r w:rsidR="001B767A" w:rsidRPr="00B71F06">
        <w:rPr>
          <w:b/>
        </w:rPr>
        <w:t xml:space="preserve">) </w:t>
      </w:r>
      <w:r w:rsidR="00F554F4" w:rsidRPr="00B71F06">
        <w:rPr>
          <w:b/>
        </w:rPr>
        <w:t xml:space="preserve">Privacy and </w:t>
      </w:r>
      <w:r w:rsidRPr="00B71F06">
        <w:rPr>
          <w:b/>
        </w:rPr>
        <w:t xml:space="preserve">IRB </w:t>
      </w:r>
    </w:p>
    <w:p w:rsidR="00035821" w:rsidRPr="00B71F06" w:rsidRDefault="00035821" w:rsidP="003E6E75">
      <w:pPr>
        <w:numPr>
          <w:ilvl w:val="0"/>
          <w:numId w:val="10"/>
        </w:numPr>
        <w:ind w:left="720"/>
      </w:pPr>
      <w:r w:rsidRPr="00B71F06">
        <w:t xml:space="preserve">Guest Lecture 1: Privacy/HIPAA </w:t>
      </w:r>
      <w:proofErr w:type="spellStart"/>
      <w:r w:rsidR="00FE6029">
        <w:t>Everall</w:t>
      </w:r>
      <w:proofErr w:type="spellEnd"/>
      <w:r w:rsidR="00FE6029">
        <w:t xml:space="preserve"> Peele</w:t>
      </w:r>
      <w:r w:rsidRPr="00B71F06">
        <w:t xml:space="preserve">, UF </w:t>
      </w:r>
      <w:r w:rsidR="00FE6029">
        <w:t>Privacy Manager</w:t>
      </w:r>
    </w:p>
    <w:p w:rsidR="009E3D3C" w:rsidRPr="00B71F06" w:rsidRDefault="009E3D3C" w:rsidP="003E6E75">
      <w:pPr>
        <w:numPr>
          <w:ilvl w:val="0"/>
          <w:numId w:val="10"/>
        </w:numPr>
        <w:ind w:left="720"/>
      </w:pPr>
      <w:r w:rsidRPr="00B71F06">
        <w:t xml:space="preserve">Guest Lecture </w:t>
      </w:r>
      <w:r w:rsidR="007272E3" w:rsidRPr="00B71F06">
        <w:t>2</w:t>
      </w:r>
      <w:r w:rsidRPr="00B71F06">
        <w:t xml:space="preserve">: IRB, </w:t>
      </w:r>
      <w:r w:rsidR="00035821" w:rsidRPr="00B71F06">
        <w:t xml:space="preserve">Tiffany </w:t>
      </w:r>
      <w:r w:rsidRPr="00B71F06">
        <w:t>Pineda</w:t>
      </w:r>
      <w:r w:rsidR="00035821" w:rsidRPr="00B71F06">
        <w:t>, Education Coordinator, UF IRB</w:t>
      </w:r>
    </w:p>
    <w:p w:rsidR="003E6E75" w:rsidRPr="00B71F06" w:rsidRDefault="003E6E75" w:rsidP="003A2152">
      <w:pPr>
        <w:rPr>
          <w:b/>
        </w:rPr>
      </w:pPr>
    </w:p>
    <w:p w:rsidR="002675B0" w:rsidRPr="005105BA" w:rsidRDefault="005105BA" w:rsidP="003A2152">
      <w:pPr>
        <w:rPr>
          <w:b/>
        </w:rPr>
      </w:pPr>
      <w:r w:rsidRPr="005105BA">
        <w:rPr>
          <w:b/>
        </w:rPr>
        <w:t xml:space="preserve">Week </w:t>
      </w:r>
      <w:r w:rsidR="00A15BDE">
        <w:rPr>
          <w:b/>
        </w:rPr>
        <w:t>15</w:t>
      </w:r>
      <w:r w:rsidR="009E3D3C">
        <w:rPr>
          <w:b/>
        </w:rPr>
        <w:t xml:space="preserve"> (4/1</w:t>
      </w:r>
      <w:r w:rsidR="00E063CC">
        <w:rPr>
          <w:b/>
        </w:rPr>
        <w:t>7</w:t>
      </w:r>
      <w:r w:rsidR="001B767A">
        <w:rPr>
          <w:b/>
        </w:rPr>
        <w:t>)</w:t>
      </w:r>
      <w:r w:rsidR="001B767A" w:rsidRPr="0028752F">
        <w:rPr>
          <w:b/>
        </w:rPr>
        <w:t xml:space="preserve"> </w:t>
      </w:r>
      <w:r w:rsidR="002675B0" w:rsidRPr="005105BA">
        <w:rPr>
          <w:b/>
        </w:rPr>
        <w:t>Regulatory Affairs</w:t>
      </w:r>
      <w:r w:rsidR="00F554F4">
        <w:rPr>
          <w:b/>
        </w:rPr>
        <w:t xml:space="preserve"> (</w:t>
      </w:r>
      <w:r w:rsidR="00E063CC">
        <w:rPr>
          <w:b/>
        </w:rPr>
        <w:t>MD</w:t>
      </w:r>
      <w:r w:rsidR="00F554F4">
        <w:rPr>
          <w:b/>
        </w:rPr>
        <w:t>)</w:t>
      </w:r>
      <w:r w:rsidR="00E063CC">
        <w:rPr>
          <w:b/>
        </w:rPr>
        <w:t xml:space="preserve"> / Class Presentations</w:t>
      </w:r>
    </w:p>
    <w:p w:rsidR="00AB4BAF" w:rsidRDefault="00F554F4" w:rsidP="003A2152">
      <w:pPr>
        <w:ind w:left="720"/>
      </w:pPr>
      <w:r>
        <w:t>a.</w:t>
      </w:r>
      <w:r w:rsidR="00AB4BAF">
        <w:t xml:space="preserve"> Misconduct and fraud</w:t>
      </w:r>
    </w:p>
    <w:p w:rsidR="009E3D3C" w:rsidRDefault="00F554F4" w:rsidP="009E3D3C">
      <w:pPr>
        <w:ind w:firstLine="720"/>
        <w:rPr>
          <w:b/>
        </w:rPr>
      </w:pPr>
      <w:r>
        <w:t>b</w:t>
      </w:r>
      <w:r w:rsidR="009E3D3C">
        <w:t>.</w:t>
      </w:r>
      <w:r w:rsidR="00AB4BAF">
        <w:t xml:space="preserve"> Conflict of interest</w:t>
      </w:r>
      <w:r w:rsidR="009E3D3C" w:rsidRPr="009E3D3C">
        <w:rPr>
          <w:b/>
        </w:rPr>
        <w:t xml:space="preserve"> </w:t>
      </w:r>
    </w:p>
    <w:p w:rsidR="009E3D3C" w:rsidRDefault="009E3D3C" w:rsidP="009E3D3C">
      <w:pPr>
        <w:rPr>
          <w:b/>
        </w:rPr>
      </w:pPr>
    </w:p>
    <w:p w:rsidR="009E3D3C" w:rsidRDefault="009E3D3C" w:rsidP="00811CC4">
      <w:pPr>
        <w:rPr>
          <w:b/>
        </w:rPr>
      </w:pPr>
      <w:r w:rsidRPr="009E3D3C">
        <w:rPr>
          <w:b/>
        </w:rPr>
        <w:t xml:space="preserve">Week </w:t>
      </w:r>
      <w:r w:rsidR="00A15BDE">
        <w:rPr>
          <w:b/>
        </w:rPr>
        <w:t>16</w:t>
      </w:r>
      <w:r w:rsidR="001E01A3">
        <w:rPr>
          <w:b/>
        </w:rPr>
        <w:t xml:space="preserve"> </w:t>
      </w:r>
      <w:r>
        <w:rPr>
          <w:b/>
        </w:rPr>
        <w:t>(4/2</w:t>
      </w:r>
      <w:r w:rsidR="00E063CC">
        <w:rPr>
          <w:b/>
        </w:rPr>
        <w:t>4</w:t>
      </w:r>
      <w:r w:rsidRPr="009E3D3C">
        <w:rPr>
          <w:b/>
        </w:rPr>
        <w:t xml:space="preserve">) </w:t>
      </w:r>
      <w:r>
        <w:rPr>
          <w:b/>
        </w:rPr>
        <w:t>Class Presentations</w:t>
      </w:r>
    </w:p>
    <w:p w:rsidR="007106C1" w:rsidRDefault="007106C1" w:rsidP="00811CC4"/>
    <w:sectPr w:rsidR="007106C1" w:rsidSect="00005B73">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16C0"/>
    <w:multiLevelType w:val="hybridMultilevel"/>
    <w:tmpl w:val="AC9A29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F7264B"/>
    <w:multiLevelType w:val="hybridMultilevel"/>
    <w:tmpl w:val="AFF023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691FBE"/>
    <w:multiLevelType w:val="hybridMultilevel"/>
    <w:tmpl w:val="B726BC44"/>
    <w:lvl w:ilvl="0" w:tplc="1E420A86">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F94029"/>
    <w:multiLevelType w:val="hybridMultilevel"/>
    <w:tmpl w:val="5732A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B42FE9"/>
    <w:multiLevelType w:val="hybridMultilevel"/>
    <w:tmpl w:val="FA6470AC"/>
    <w:lvl w:ilvl="0" w:tplc="0FE06E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5E927A2"/>
    <w:multiLevelType w:val="hybridMultilevel"/>
    <w:tmpl w:val="95BA68DA"/>
    <w:lvl w:ilvl="0" w:tplc="AB72A75A">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nsid w:val="2CD651CC"/>
    <w:multiLevelType w:val="hybridMultilevel"/>
    <w:tmpl w:val="FA6470AC"/>
    <w:lvl w:ilvl="0" w:tplc="0FE06E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3387F78"/>
    <w:multiLevelType w:val="hybridMultilevel"/>
    <w:tmpl w:val="D91A3B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CE083D"/>
    <w:multiLevelType w:val="hybridMultilevel"/>
    <w:tmpl w:val="A00ED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12507B"/>
    <w:multiLevelType w:val="hybridMultilevel"/>
    <w:tmpl w:val="8E0A8D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4E1CEE"/>
    <w:multiLevelType w:val="hybridMultilevel"/>
    <w:tmpl w:val="B956D0BE"/>
    <w:lvl w:ilvl="0" w:tplc="4D04FFD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0012B63"/>
    <w:multiLevelType w:val="hybridMultilevel"/>
    <w:tmpl w:val="5EFEABB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734A31"/>
    <w:multiLevelType w:val="hybridMultilevel"/>
    <w:tmpl w:val="9126FAA6"/>
    <w:lvl w:ilvl="0" w:tplc="B2E0D24E">
      <w:start w:val="5"/>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11"/>
  </w:num>
  <w:num w:numId="3">
    <w:abstractNumId w:val="12"/>
  </w:num>
  <w:num w:numId="4">
    <w:abstractNumId w:val="5"/>
  </w:num>
  <w:num w:numId="5">
    <w:abstractNumId w:val="0"/>
  </w:num>
  <w:num w:numId="6">
    <w:abstractNumId w:val="3"/>
  </w:num>
  <w:num w:numId="7">
    <w:abstractNumId w:val="6"/>
  </w:num>
  <w:num w:numId="8">
    <w:abstractNumId w:val="2"/>
  </w:num>
  <w:num w:numId="9">
    <w:abstractNumId w:val="10"/>
  </w:num>
  <w:num w:numId="10">
    <w:abstractNumId w:val="4"/>
  </w:num>
  <w:num w:numId="11">
    <w:abstractNumId w:val="8"/>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45115"/>
    <w:rsid w:val="0000374F"/>
    <w:rsid w:val="00003C44"/>
    <w:rsid w:val="00003F97"/>
    <w:rsid w:val="00005B73"/>
    <w:rsid w:val="00015DE3"/>
    <w:rsid w:val="000347BC"/>
    <w:rsid w:val="00035821"/>
    <w:rsid w:val="00037E0B"/>
    <w:rsid w:val="000407B7"/>
    <w:rsid w:val="00043CF8"/>
    <w:rsid w:val="00045B3E"/>
    <w:rsid w:val="000528AC"/>
    <w:rsid w:val="00052DDF"/>
    <w:rsid w:val="000575B3"/>
    <w:rsid w:val="00060228"/>
    <w:rsid w:val="000624E7"/>
    <w:rsid w:val="00073D9F"/>
    <w:rsid w:val="00074705"/>
    <w:rsid w:val="00074CA6"/>
    <w:rsid w:val="00080842"/>
    <w:rsid w:val="0008472D"/>
    <w:rsid w:val="00086414"/>
    <w:rsid w:val="0009046C"/>
    <w:rsid w:val="0009340C"/>
    <w:rsid w:val="00093CE9"/>
    <w:rsid w:val="00097186"/>
    <w:rsid w:val="000A14D4"/>
    <w:rsid w:val="000A2AB2"/>
    <w:rsid w:val="000A6959"/>
    <w:rsid w:val="000B0A5D"/>
    <w:rsid w:val="000B2D61"/>
    <w:rsid w:val="000B4C2E"/>
    <w:rsid w:val="000C0DD0"/>
    <w:rsid w:val="000D406B"/>
    <w:rsid w:val="000D75D1"/>
    <w:rsid w:val="000F3D04"/>
    <w:rsid w:val="000F6C1D"/>
    <w:rsid w:val="00102679"/>
    <w:rsid w:val="0010462F"/>
    <w:rsid w:val="0010604A"/>
    <w:rsid w:val="00107A3F"/>
    <w:rsid w:val="00107DFC"/>
    <w:rsid w:val="001126CC"/>
    <w:rsid w:val="00112D01"/>
    <w:rsid w:val="00114044"/>
    <w:rsid w:val="00120FB3"/>
    <w:rsid w:val="00121709"/>
    <w:rsid w:val="00125CEC"/>
    <w:rsid w:val="00140BEF"/>
    <w:rsid w:val="00141C31"/>
    <w:rsid w:val="00142114"/>
    <w:rsid w:val="00142E8F"/>
    <w:rsid w:val="00147F27"/>
    <w:rsid w:val="001512AB"/>
    <w:rsid w:val="00151833"/>
    <w:rsid w:val="00152F1B"/>
    <w:rsid w:val="00165692"/>
    <w:rsid w:val="00170CDE"/>
    <w:rsid w:val="00174693"/>
    <w:rsid w:val="001748F8"/>
    <w:rsid w:val="00174DBA"/>
    <w:rsid w:val="001807F5"/>
    <w:rsid w:val="00184EC9"/>
    <w:rsid w:val="00187495"/>
    <w:rsid w:val="00191861"/>
    <w:rsid w:val="00192113"/>
    <w:rsid w:val="00192168"/>
    <w:rsid w:val="001A07B3"/>
    <w:rsid w:val="001A7F50"/>
    <w:rsid w:val="001B41F1"/>
    <w:rsid w:val="001B6EBF"/>
    <w:rsid w:val="001B767A"/>
    <w:rsid w:val="001B7F0A"/>
    <w:rsid w:val="001C29C4"/>
    <w:rsid w:val="001D0B61"/>
    <w:rsid w:val="001D0D5E"/>
    <w:rsid w:val="001D4514"/>
    <w:rsid w:val="001E01A3"/>
    <w:rsid w:val="001E02C2"/>
    <w:rsid w:val="001F0646"/>
    <w:rsid w:val="001F0BB3"/>
    <w:rsid w:val="001F399F"/>
    <w:rsid w:val="001F5C5C"/>
    <w:rsid w:val="001F6B00"/>
    <w:rsid w:val="00201274"/>
    <w:rsid w:val="00203F2A"/>
    <w:rsid w:val="0020679A"/>
    <w:rsid w:val="00210456"/>
    <w:rsid w:val="00212E87"/>
    <w:rsid w:val="002131AC"/>
    <w:rsid w:val="002165CF"/>
    <w:rsid w:val="00222399"/>
    <w:rsid w:val="00225F0E"/>
    <w:rsid w:val="002270C8"/>
    <w:rsid w:val="00230B97"/>
    <w:rsid w:val="002429F9"/>
    <w:rsid w:val="00243FA5"/>
    <w:rsid w:val="002536D9"/>
    <w:rsid w:val="002554BD"/>
    <w:rsid w:val="002621CF"/>
    <w:rsid w:val="00265E01"/>
    <w:rsid w:val="002675B0"/>
    <w:rsid w:val="00267640"/>
    <w:rsid w:val="00267892"/>
    <w:rsid w:val="00270B97"/>
    <w:rsid w:val="00270DB8"/>
    <w:rsid w:val="00271B04"/>
    <w:rsid w:val="002734D5"/>
    <w:rsid w:val="00273EA4"/>
    <w:rsid w:val="0027735A"/>
    <w:rsid w:val="00280454"/>
    <w:rsid w:val="0028648E"/>
    <w:rsid w:val="0028752F"/>
    <w:rsid w:val="0029253F"/>
    <w:rsid w:val="002925AA"/>
    <w:rsid w:val="00293345"/>
    <w:rsid w:val="002943E8"/>
    <w:rsid w:val="002A2298"/>
    <w:rsid w:val="002A24A9"/>
    <w:rsid w:val="002A5502"/>
    <w:rsid w:val="002A5F86"/>
    <w:rsid w:val="002B2A02"/>
    <w:rsid w:val="002B70CC"/>
    <w:rsid w:val="002B7FCF"/>
    <w:rsid w:val="002C0FC0"/>
    <w:rsid w:val="002C38E0"/>
    <w:rsid w:val="002C6CFC"/>
    <w:rsid w:val="002D1317"/>
    <w:rsid w:val="002D56A3"/>
    <w:rsid w:val="002E6B5F"/>
    <w:rsid w:val="002F076F"/>
    <w:rsid w:val="002F37F0"/>
    <w:rsid w:val="002F3D85"/>
    <w:rsid w:val="002F5905"/>
    <w:rsid w:val="002F5D6B"/>
    <w:rsid w:val="00300DED"/>
    <w:rsid w:val="00304469"/>
    <w:rsid w:val="00311E08"/>
    <w:rsid w:val="00311E2F"/>
    <w:rsid w:val="00312F8F"/>
    <w:rsid w:val="003158D4"/>
    <w:rsid w:val="00324081"/>
    <w:rsid w:val="00324CC9"/>
    <w:rsid w:val="00324FF4"/>
    <w:rsid w:val="00327345"/>
    <w:rsid w:val="00335C6D"/>
    <w:rsid w:val="00336139"/>
    <w:rsid w:val="0034384E"/>
    <w:rsid w:val="003448BB"/>
    <w:rsid w:val="00345F27"/>
    <w:rsid w:val="0035167C"/>
    <w:rsid w:val="00355B2F"/>
    <w:rsid w:val="003560EC"/>
    <w:rsid w:val="00356A4B"/>
    <w:rsid w:val="00365993"/>
    <w:rsid w:val="00365B5E"/>
    <w:rsid w:val="0036621D"/>
    <w:rsid w:val="003714BC"/>
    <w:rsid w:val="00375749"/>
    <w:rsid w:val="00375D58"/>
    <w:rsid w:val="003817B4"/>
    <w:rsid w:val="00385884"/>
    <w:rsid w:val="003906A1"/>
    <w:rsid w:val="00392369"/>
    <w:rsid w:val="003A0406"/>
    <w:rsid w:val="003A2152"/>
    <w:rsid w:val="003A50C6"/>
    <w:rsid w:val="003A6EB5"/>
    <w:rsid w:val="003A769C"/>
    <w:rsid w:val="003C6883"/>
    <w:rsid w:val="003D15CD"/>
    <w:rsid w:val="003D5013"/>
    <w:rsid w:val="003D71E5"/>
    <w:rsid w:val="003E1B11"/>
    <w:rsid w:val="003E2326"/>
    <w:rsid w:val="003E39D8"/>
    <w:rsid w:val="003E4F90"/>
    <w:rsid w:val="003E6E75"/>
    <w:rsid w:val="003F1BFC"/>
    <w:rsid w:val="003F2E2D"/>
    <w:rsid w:val="003F4E41"/>
    <w:rsid w:val="003F6E96"/>
    <w:rsid w:val="00401029"/>
    <w:rsid w:val="00401C5C"/>
    <w:rsid w:val="004214A3"/>
    <w:rsid w:val="00426454"/>
    <w:rsid w:val="00427337"/>
    <w:rsid w:val="00430A3E"/>
    <w:rsid w:val="00431919"/>
    <w:rsid w:val="0043356B"/>
    <w:rsid w:val="0043365B"/>
    <w:rsid w:val="004340AA"/>
    <w:rsid w:val="00440B69"/>
    <w:rsid w:val="00445F9A"/>
    <w:rsid w:val="00446DFD"/>
    <w:rsid w:val="00451C1B"/>
    <w:rsid w:val="004540D9"/>
    <w:rsid w:val="00454B72"/>
    <w:rsid w:val="004613D0"/>
    <w:rsid w:val="00464579"/>
    <w:rsid w:val="00472A57"/>
    <w:rsid w:val="004748C1"/>
    <w:rsid w:val="00490EEF"/>
    <w:rsid w:val="0049148D"/>
    <w:rsid w:val="004942FE"/>
    <w:rsid w:val="004974D8"/>
    <w:rsid w:val="004A0B2C"/>
    <w:rsid w:val="004A20A8"/>
    <w:rsid w:val="004A2A81"/>
    <w:rsid w:val="004A3235"/>
    <w:rsid w:val="004A469C"/>
    <w:rsid w:val="004A56FA"/>
    <w:rsid w:val="004C4646"/>
    <w:rsid w:val="004C4922"/>
    <w:rsid w:val="004C4985"/>
    <w:rsid w:val="004C5A1A"/>
    <w:rsid w:val="004D2D03"/>
    <w:rsid w:val="004D50C9"/>
    <w:rsid w:val="004D6CEE"/>
    <w:rsid w:val="004D7CE8"/>
    <w:rsid w:val="004E5585"/>
    <w:rsid w:val="004F0A8B"/>
    <w:rsid w:val="004F3B38"/>
    <w:rsid w:val="00504BE1"/>
    <w:rsid w:val="0050532D"/>
    <w:rsid w:val="00507382"/>
    <w:rsid w:val="005075D7"/>
    <w:rsid w:val="005079EA"/>
    <w:rsid w:val="00507F3E"/>
    <w:rsid w:val="005105BA"/>
    <w:rsid w:val="00514942"/>
    <w:rsid w:val="005164A1"/>
    <w:rsid w:val="0051678C"/>
    <w:rsid w:val="005176D9"/>
    <w:rsid w:val="005204CD"/>
    <w:rsid w:val="00525BFD"/>
    <w:rsid w:val="00525E90"/>
    <w:rsid w:val="00525F5E"/>
    <w:rsid w:val="00536B1A"/>
    <w:rsid w:val="00547CB5"/>
    <w:rsid w:val="0055112C"/>
    <w:rsid w:val="005535E8"/>
    <w:rsid w:val="00557EF6"/>
    <w:rsid w:val="00567F12"/>
    <w:rsid w:val="0057148F"/>
    <w:rsid w:val="00571D5F"/>
    <w:rsid w:val="00573FDD"/>
    <w:rsid w:val="00574C1C"/>
    <w:rsid w:val="00575CA4"/>
    <w:rsid w:val="00577830"/>
    <w:rsid w:val="00577837"/>
    <w:rsid w:val="0058107A"/>
    <w:rsid w:val="005816EE"/>
    <w:rsid w:val="005825A8"/>
    <w:rsid w:val="00584BE4"/>
    <w:rsid w:val="00585F78"/>
    <w:rsid w:val="00596822"/>
    <w:rsid w:val="0059762D"/>
    <w:rsid w:val="005A19E4"/>
    <w:rsid w:val="005A3892"/>
    <w:rsid w:val="005B33BF"/>
    <w:rsid w:val="005B4B9F"/>
    <w:rsid w:val="005C1F14"/>
    <w:rsid w:val="005D7555"/>
    <w:rsid w:val="005E29E0"/>
    <w:rsid w:val="005E7F2A"/>
    <w:rsid w:val="005F13E3"/>
    <w:rsid w:val="005F1A3D"/>
    <w:rsid w:val="005F3729"/>
    <w:rsid w:val="005F3D6C"/>
    <w:rsid w:val="005F6395"/>
    <w:rsid w:val="006024D6"/>
    <w:rsid w:val="00604882"/>
    <w:rsid w:val="00607A6B"/>
    <w:rsid w:val="00616486"/>
    <w:rsid w:val="00616E79"/>
    <w:rsid w:val="00621020"/>
    <w:rsid w:val="00623623"/>
    <w:rsid w:val="00630DA0"/>
    <w:rsid w:val="00640734"/>
    <w:rsid w:val="006458C5"/>
    <w:rsid w:val="006629DF"/>
    <w:rsid w:val="00663745"/>
    <w:rsid w:val="00666AEE"/>
    <w:rsid w:val="0067319E"/>
    <w:rsid w:val="00674CF4"/>
    <w:rsid w:val="00677125"/>
    <w:rsid w:val="00680912"/>
    <w:rsid w:val="00681C5E"/>
    <w:rsid w:val="00686AFA"/>
    <w:rsid w:val="00696799"/>
    <w:rsid w:val="00697B5B"/>
    <w:rsid w:val="006A0A6A"/>
    <w:rsid w:val="006A19D5"/>
    <w:rsid w:val="006A19FC"/>
    <w:rsid w:val="006A2700"/>
    <w:rsid w:val="006A6AB4"/>
    <w:rsid w:val="006A70C1"/>
    <w:rsid w:val="006B27E7"/>
    <w:rsid w:val="006B5578"/>
    <w:rsid w:val="006B7FF9"/>
    <w:rsid w:val="006D0308"/>
    <w:rsid w:val="006D51CD"/>
    <w:rsid w:val="006E61F6"/>
    <w:rsid w:val="006E7B78"/>
    <w:rsid w:val="006F1C7E"/>
    <w:rsid w:val="006F21A8"/>
    <w:rsid w:val="006F620A"/>
    <w:rsid w:val="00705E0F"/>
    <w:rsid w:val="007106C1"/>
    <w:rsid w:val="00712E50"/>
    <w:rsid w:val="00714E7A"/>
    <w:rsid w:val="007159BA"/>
    <w:rsid w:val="00725816"/>
    <w:rsid w:val="007272E3"/>
    <w:rsid w:val="00730008"/>
    <w:rsid w:val="007405EE"/>
    <w:rsid w:val="00744172"/>
    <w:rsid w:val="00744763"/>
    <w:rsid w:val="00744F2A"/>
    <w:rsid w:val="00747D4E"/>
    <w:rsid w:val="00750A26"/>
    <w:rsid w:val="0075104C"/>
    <w:rsid w:val="007561A6"/>
    <w:rsid w:val="007624A5"/>
    <w:rsid w:val="00763080"/>
    <w:rsid w:val="00763C61"/>
    <w:rsid w:val="0076595D"/>
    <w:rsid w:val="00766C24"/>
    <w:rsid w:val="00767F7E"/>
    <w:rsid w:val="00770386"/>
    <w:rsid w:val="0077479B"/>
    <w:rsid w:val="00781B8E"/>
    <w:rsid w:val="00782592"/>
    <w:rsid w:val="00791D81"/>
    <w:rsid w:val="0079230D"/>
    <w:rsid w:val="007923AA"/>
    <w:rsid w:val="0079389C"/>
    <w:rsid w:val="007A51B7"/>
    <w:rsid w:val="007B2729"/>
    <w:rsid w:val="007B64EC"/>
    <w:rsid w:val="007C11F9"/>
    <w:rsid w:val="007C5DF9"/>
    <w:rsid w:val="007C7898"/>
    <w:rsid w:val="007D0F9F"/>
    <w:rsid w:val="007E37D4"/>
    <w:rsid w:val="007F333F"/>
    <w:rsid w:val="007F40A6"/>
    <w:rsid w:val="00805520"/>
    <w:rsid w:val="00811CC4"/>
    <w:rsid w:val="00821C53"/>
    <w:rsid w:val="008239C8"/>
    <w:rsid w:val="0082433D"/>
    <w:rsid w:val="0082622F"/>
    <w:rsid w:val="008263A7"/>
    <w:rsid w:val="008273EF"/>
    <w:rsid w:val="008302BB"/>
    <w:rsid w:val="008351FC"/>
    <w:rsid w:val="0084394A"/>
    <w:rsid w:val="00844C77"/>
    <w:rsid w:val="00844CC2"/>
    <w:rsid w:val="00851BEF"/>
    <w:rsid w:val="00852BC7"/>
    <w:rsid w:val="00852E65"/>
    <w:rsid w:val="0086419E"/>
    <w:rsid w:val="0086429C"/>
    <w:rsid w:val="00870B19"/>
    <w:rsid w:val="00874E65"/>
    <w:rsid w:val="00875153"/>
    <w:rsid w:val="00875FC8"/>
    <w:rsid w:val="00885503"/>
    <w:rsid w:val="0088783F"/>
    <w:rsid w:val="0089366A"/>
    <w:rsid w:val="00894670"/>
    <w:rsid w:val="00895100"/>
    <w:rsid w:val="008A4286"/>
    <w:rsid w:val="008A6BBE"/>
    <w:rsid w:val="008B0BF9"/>
    <w:rsid w:val="008B2B4E"/>
    <w:rsid w:val="008B43FC"/>
    <w:rsid w:val="008B63C0"/>
    <w:rsid w:val="008C032C"/>
    <w:rsid w:val="008C1F79"/>
    <w:rsid w:val="008C2399"/>
    <w:rsid w:val="008C4495"/>
    <w:rsid w:val="008C4639"/>
    <w:rsid w:val="008C4EF4"/>
    <w:rsid w:val="008C57AF"/>
    <w:rsid w:val="008D24E1"/>
    <w:rsid w:val="008D6506"/>
    <w:rsid w:val="008D66A2"/>
    <w:rsid w:val="009024C2"/>
    <w:rsid w:val="0091521B"/>
    <w:rsid w:val="00915383"/>
    <w:rsid w:val="009260D9"/>
    <w:rsid w:val="00926B04"/>
    <w:rsid w:val="00926CFF"/>
    <w:rsid w:val="009274F7"/>
    <w:rsid w:val="00931984"/>
    <w:rsid w:val="0093606F"/>
    <w:rsid w:val="00937308"/>
    <w:rsid w:val="0094237D"/>
    <w:rsid w:val="0094674D"/>
    <w:rsid w:val="00955806"/>
    <w:rsid w:val="00955E12"/>
    <w:rsid w:val="00960510"/>
    <w:rsid w:val="00965570"/>
    <w:rsid w:val="00966FE6"/>
    <w:rsid w:val="00972C78"/>
    <w:rsid w:val="00973B80"/>
    <w:rsid w:val="00975432"/>
    <w:rsid w:val="00980D27"/>
    <w:rsid w:val="0098288D"/>
    <w:rsid w:val="00982FE8"/>
    <w:rsid w:val="009851AF"/>
    <w:rsid w:val="00986297"/>
    <w:rsid w:val="00986BF3"/>
    <w:rsid w:val="00986CA5"/>
    <w:rsid w:val="009903ED"/>
    <w:rsid w:val="00996E71"/>
    <w:rsid w:val="009A045A"/>
    <w:rsid w:val="009B07AF"/>
    <w:rsid w:val="009B142C"/>
    <w:rsid w:val="009B2BD8"/>
    <w:rsid w:val="009B2DDB"/>
    <w:rsid w:val="009C3EA1"/>
    <w:rsid w:val="009D2CE0"/>
    <w:rsid w:val="009E3D3C"/>
    <w:rsid w:val="009E4FCC"/>
    <w:rsid w:val="00A03733"/>
    <w:rsid w:val="00A0445B"/>
    <w:rsid w:val="00A077AB"/>
    <w:rsid w:val="00A15BDE"/>
    <w:rsid w:val="00A1615B"/>
    <w:rsid w:val="00A16D20"/>
    <w:rsid w:val="00A16FFF"/>
    <w:rsid w:val="00A218A3"/>
    <w:rsid w:val="00A230E2"/>
    <w:rsid w:val="00A3125E"/>
    <w:rsid w:val="00A31777"/>
    <w:rsid w:val="00A3776C"/>
    <w:rsid w:val="00A37BB4"/>
    <w:rsid w:val="00A400C9"/>
    <w:rsid w:val="00A4081E"/>
    <w:rsid w:val="00A44115"/>
    <w:rsid w:val="00A45115"/>
    <w:rsid w:val="00A479A9"/>
    <w:rsid w:val="00A572FD"/>
    <w:rsid w:val="00A60808"/>
    <w:rsid w:val="00A65A57"/>
    <w:rsid w:val="00A7010A"/>
    <w:rsid w:val="00A72630"/>
    <w:rsid w:val="00A820C3"/>
    <w:rsid w:val="00A86B4E"/>
    <w:rsid w:val="00A9222E"/>
    <w:rsid w:val="00A923D5"/>
    <w:rsid w:val="00A95E8E"/>
    <w:rsid w:val="00AA4C42"/>
    <w:rsid w:val="00AB0B7F"/>
    <w:rsid w:val="00AB25A4"/>
    <w:rsid w:val="00AB2C0B"/>
    <w:rsid w:val="00AB4585"/>
    <w:rsid w:val="00AB4BAF"/>
    <w:rsid w:val="00AC5A11"/>
    <w:rsid w:val="00AC6AAB"/>
    <w:rsid w:val="00AD39D3"/>
    <w:rsid w:val="00AD5487"/>
    <w:rsid w:val="00AD78C7"/>
    <w:rsid w:val="00AE219C"/>
    <w:rsid w:val="00AE5DD7"/>
    <w:rsid w:val="00AF07A9"/>
    <w:rsid w:val="00AF3542"/>
    <w:rsid w:val="00B156A7"/>
    <w:rsid w:val="00B3358B"/>
    <w:rsid w:val="00B421F2"/>
    <w:rsid w:val="00B44758"/>
    <w:rsid w:val="00B467BC"/>
    <w:rsid w:val="00B46DA9"/>
    <w:rsid w:val="00B519D1"/>
    <w:rsid w:val="00B52C8D"/>
    <w:rsid w:val="00B55DA3"/>
    <w:rsid w:val="00B71F06"/>
    <w:rsid w:val="00B740EA"/>
    <w:rsid w:val="00B80763"/>
    <w:rsid w:val="00B82408"/>
    <w:rsid w:val="00B84B7D"/>
    <w:rsid w:val="00BA085F"/>
    <w:rsid w:val="00BA30F3"/>
    <w:rsid w:val="00BA494A"/>
    <w:rsid w:val="00BC2F0A"/>
    <w:rsid w:val="00BC6D79"/>
    <w:rsid w:val="00BE24D0"/>
    <w:rsid w:val="00BF7202"/>
    <w:rsid w:val="00C06231"/>
    <w:rsid w:val="00C112E3"/>
    <w:rsid w:val="00C17BB0"/>
    <w:rsid w:val="00C20EC6"/>
    <w:rsid w:val="00C303F2"/>
    <w:rsid w:val="00C327C6"/>
    <w:rsid w:val="00C402C7"/>
    <w:rsid w:val="00C41127"/>
    <w:rsid w:val="00C41298"/>
    <w:rsid w:val="00C45F09"/>
    <w:rsid w:val="00C504B9"/>
    <w:rsid w:val="00C56492"/>
    <w:rsid w:val="00C642EA"/>
    <w:rsid w:val="00C72655"/>
    <w:rsid w:val="00C72B13"/>
    <w:rsid w:val="00C742E0"/>
    <w:rsid w:val="00C74D35"/>
    <w:rsid w:val="00C75F82"/>
    <w:rsid w:val="00C804BF"/>
    <w:rsid w:val="00C80D94"/>
    <w:rsid w:val="00C916DD"/>
    <w:rsid w:val="00C9424A"/>
    <w:rsid w:val="00CA4052"/>
    <w:rsid w:val="00CA484C"/>
    <w:rsid w:val="00CA59DF"/>
    <w:rsid w:val="00CA63D3"/>
    <w:rsid w:val="00CB0982"/>
    <w:rsid w:val="00CB115D"/>
    <w:rsid w:val="00CB364E"/>
    <w:rsid w:val="00CB534D"/>
    <w:rsid w:val="00CC0425"/>
    <w:rsid w:val="00CC2DD1"/>
    <w:rsid w:val="00CC5643"/>
    <w:rsid w:val="00CC7D16"/>
    <w:rsid w:val="00CD0993"/>
    <w:rsid w:val="00CD137E"/>
    <w:rsid w:val="00CD1555"/>
    <w:rsid w:val="00CD2C7D"/>
    <w:rsid w:val="00CD566F"/>
    <w:rsid w:val="00CE2810"/>
    <w:rsid w:val="00CE68E7"/>
    <w:rsid w:val="00CF0CAF"/>
    <w:rsid w:val="00CF13EF"/>
    <w:rsid w:val="00CF2B5D"/>
    <w:rsid w:val="00CF4474"/>
    <w:rsid w:val="00D01489"/>
    <w:rsid w:val="00D02330"/>
    <w:rsid w:val="00D02E94"/>
    <w:rsid w:val="00D102F6"/>
    <w:rsid w:val="00D1657C"/>
    <w:rsid w:val="00D1732B"/>
    <w:rsid w:val="00D224B5"/>
    <w:rsid w:val="00D22B04"/>
    <w:rsid w:val="00D259F3"/>
    <w:rsid w:val="00D277A5"/>
    <w:rsid w:val="00D315D2"/>
    <w:rsid w:val="00D3408D"/>
    <w:rsid w:val="00D408E2"/>
    <w:rsid w:val="00D43B71"/>
    <w:rsid w:val="00D53C2D"/>
    <w:rsid w:val="00D65629"/>
    <w:rsid w:val="00D71D7D"/>
    <w:rsid w:val="00D775CC"/>
    <w:rsid w:val="00D817DD"/>
    <w:rsid w:val="00D86253"/>
    <w:rsid w:val="00D90DCF"/>
    <w:rsid w:val="00D924AA"/>
    <w:rsid w:val="00D93C6A"/>
    <w:rsid w:val="00D93CBD"/>
    <w:rsid w:val="00DE0CE7"/>
    <w:rsid w:val="00DE4820"/>
    <w:rsid w:val="00DF6455"/>
    <w:rsid w:val="00E00668"/>
    <w:rsid w:val="00E06389"/>
    <w:rsid w:val="00E063CC"/>
    <w:rsid w:val="00E143EB"/>
    <w:rsid w:val="00E14DE2"/>
    <w:rsid w:val="00E17409"/>
    <w:rsid w:val="00E209CB"/>
    <w:rsid w:val="00E2514F"/>
    <w:rsid w:val="00E258FE"/>
    <w:rsid w:val="00E3213D"/>
    <w:rsid w:val="00E3513E"/>
    <w:rsid w:val="00E369EC"/>
    <w:rsid w:val="00E40C6D"/>
    <w:rsid w:val="00E43A45"/>
    <w:rsid w:val="00E56D55"/>
    <w:rsid w:val="00E664E0"/>
    <w:rsid w:val="00E74865"/>
    <w:rsid w:val="00E80A7B"/>
    <w:rsid w:val="00E81A9B"/>
    <w:rsid w:val="00E844FA"/>
    <w:rsid w:val="00E86F26"/>
    <w:rsid w:val="00E94ABA"/>
    <w:rsid w:val="00E94C30"/>
    <w:rsid w:val="00E969DA"/>
    <w:rsid w:val="00EA2243"/>
    <w:rsid w:val="00EA2DC5"/>
    <w:rsid w:val="00EB516D"/>
    <w:rsid w:val="00EB59E5"/>
    <w:rsid w:val="00ED429D"/>
    <w:rsid w:val="00ED5FBC"/>
    <w:rsid w:val="00EE0F1B"/>
    <w:rsid w:val="00EE1590"/>
    <w:rsid w:val="00EE36FC"/>
    <w:rsid w:val="00EE3D33"/>
    <w:rsid w:val="00EE5AF0"/>
    <w:rsid w:val="00EF3062"/>
    <w:rsid w:val="00F00305"/>
    <w:rsid w:val="00F039C4"/>
    <w:rsid w:val="00F0412F"/>
    <w:rsid w:val="00F04DC6"/>
    <w:rsid w:val="00F05B47"/>
    <w:rsid w:val="00F10C19"/>
    <w:rsid w:val="00F12E65"/>
    <w:rsid w:val="00F13DBD"/>
    <w:rsid w:val="00F24E68"/>
    <w:rsid w:val="00F279B4"/>
    <w:rsid w:val="00F32721"/>
    <w:rsid w:val="00F369E8"/>
    <w:rsid w:val="00F531CA"/>
    <w:rsid w:val="00F545CD"/>
    <w:rsid w:val="00F554F4"/>
    <w:rsid w:val="00F6273C"/>
    <w:rsid w:val="00F73734"/>
    <w:rsid w:val="00F76B65"/>
    <w:rsid w:val="00F869E6"/>
    <w:rsid w:val="00F86C0A"/>
    <w:rsid w:val="00F97278"/>
    <w:rsid w:val="00FA2B5D"/>
    <w:rsid w:val="00FA4738"/>
    <w:rsid w:val="00FB0CD6"/>
    <w:rsid w:val="00FB205E"/>
    <w:rsid w:val="00FB60CA"/>
    <w:rsid w:val="00FC0001"/>
    <w:rsid w:val="00FC1BA3"/>
    <w:rsid w:val="00FC1F6C"/>
    <w:rsid w:val="00FC6711"/>
    <w:rsid w:val="00FC7C06"/>
    <w:rsid w:val="00FD4767"/>
    <w:rsid w:val="00FD6447"/>
    <w:rsid w:val="00FE2590"/>
    <w:rsid w:val="00FE6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6A1"/>
    <w:rPr>
      <w:sz w:val="24"/>
      <w:szCs w:val="24"/>
    </w:rPr>
  </w:style>
  <w:style w:type="paragraph" w:styleId="Heading3">
    <w:name w:val="heading 3"/>
    <w:basedOn w:val="Normal"/>
    <w:next w:val="Normal"/>
    <w:qFormat/>
    <w:rsid w:val="00744F2A"/>
    <w:pPr>
      <w:keepNext/>
      <w:ind w:left="36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6447"/>
    <w:rPr>
      <w:rFonts w:ascii="Tahoma" w:hAnsi="Tahoma" w:cs="Tahoma"/>
      <w:sz w:val="16"/>
      <w:szCs w:val="16"/>
    </w:rPr>
  </w:style>
  <w:style w:type="character" w:styleId="Hyperlink">
    <w:name w:val="Hyperlink"/>
    <w:basedOn w:val="DefaultParagraphFont"/>
    <w:rsid w:val="00744F2A"/>
    <w:rPr>
      <w:color w:val="0000FF"/>
      <w:u w:val="single"/>
    </w:rPr>
  </w:style>
  <w:style w:type="paragraph" w:styleId="BodyText">
    <w:name w:val="Body Text"/>
    <w:basedOn w:val="Normal"/>
    <w:link w:val="BodyTextChar"/>
    <w:rsid w:val="00744F2A"/>
    <w:pPr>
      <w:jc w:val="center"/>
    </w:pPr>
    <w:rPr>
      <w:b/>
      <w:szCs w:val="20"/>
    </w:rPr>
  </w:style>
  <w:style w:type="character" w:styleId="FollowedHyperlink">
    <w:name w:val="FollowedHyperlink"/>
    <w:basedOn w:val="DefaultParagraphFont"/>
    <w:rsid w:val="00980D27"/>
    <w:rPr>
      <w:color w:val="800080"/>
      <w:u w:val="single"/>
    </w:rPr>
  </w:style>
  <w:style w:type="character" w:styleId="CommentReference">
    <w:name w:val="annotation reference"/>
    <w:basedOn w:val="DefaultParagraphFont"/>
    <w:rsid w:val="00A16FFF"/>
    <w:rPr>
      <w:sz w:val="16"/>
      <w:szCs w:val="16"/>
    </w:rPr>
  </w:style>
  <w:style w:type="paragraph" w:styleId="CommentText">
    <w:name w:val="annotation text"/>
    <w:basedOn w:val="Normal"/>
    <w:link w:val="CommentTextChar"/>
    <w:rsid w:val="00A16FFF"/>
    <w:rPr>
      <w:sz w:val="20"/>
      <w:szCs w:val="20"/>
    </w:rPr>
  </w:style>
  <w:style w:type="character" w:customStyle="1" w:styleId="CommentTextChar">
    <w:name w:val="Comment Text Char"/>
    <w:basedOn w:val="DefaultParagraphFont"/>
    <w:link w:val="CommentText"/>
    <w:rsid w:val="00A16FFF"/>
  </w:style>
  <w:style w:type="paragraph" w:styleId="CommentSubject">
    <w:name w:val="annotation subject"/>
    <w:basedOn w:val="CommentText"/>
    <w:next w:val="CommentText"/>
    <w:link w:val="CommentSubjectChar"/>
    <w:rsid w:val="00A16FFF"/>
    <w:rPr>
      <w:b/>
      <w:bCs/>
    </w:rPr>
  </w:style>
  <w:style w:type="character" w:customStyle="1" w:styleId="CommentSubjectChar">
    <w:name w:val="Comment Subject Char"/>
    <w:basedOn w:val="CommentTextChar"/>
    <w:link w:val="CommentSubject"/>
    <w:rsid w:val="00A16FFF"/>
    <w:rPr>
      <w:b/>
      <w:bCs/>
    </w:rPr>
  </w:style>
  <w:style w:type="paragraph" w:styleId="ListParagraph">
    <w:name w:val="List Paragraph"/>
    <w:basedOn w:val="Normal"/>
    <w:uiPriority w:val="34"/>
    <w:qFormat/>
    <w:rsid w:val="001E01A3"/>
    <w:pPr>
      <w:ind w:left="720"/>
    </w:pPr>
  </w:style>
  <w:style w:type="paragraph" w:styleId="Revision">
    <w:name w:val="Revision"/>
    <w:hidden/>
    <w:uiPriority w:val="99"/>
    <w:semiHidden/>
    <w:rsid w:val="00E74865"/>
    <w:rPr>
      <w:sz w:val="24"/>
      <w:szCs w:val="24"/>
    </w:rPr>
  </w:style>
  <w:style w:type="character" w:customStyle="1" w:styleId="BodyTextChar">
    <w:name w:val="Body Text Char"/>
    <w:basedOn w:val="DefaultParagraphFont"/>
    <w:link w:val="BodyText"/>
    <w:rsid w:val="00102679"/>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6A1"/>
    <w:rPr>
      <w:sz w:val="24"/>
      <w:szCs w:val="24"/>
    </w:rPr>
  </w:style>
  <w:style w:type="paragraph" w:styleId="Heading3">
    <w:name w:val="heading 3"/>
    <w:basedOn w:val="Normal"/>
    <w:next w:val="Normal"/>
    <w:qFormat/>
    <w:rsid w:val="00744F2A"/>
    <w:pPr>
      <w:keepNext/>
      <w:ind w:left="36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6447"/>
    <w:rPr>
      <w:rFonts w:ascii="Tahoma" w:hAnsi="Tahoma" w:cs="Tahoma"/>
      <w:sz w:val="16"/>
      <w:szCs w:val="16"/>
    </w:rPr>
  </w:style>
  <w:style w:type="character" w:styleId="Hyperlink">
    <w:name w:val="Hyperlink"/>
    <w:basedOn w:val="DefaultParagraphFont"/>
    <w:rsid w:val="00744F2A"/>
    <w:rPr>
      <w:color w:val="0000FF"/>
      <w:u w:val="single"/>
    </w:rPr>
  </w:style>
  <w:style w:type="paragraph" w:styleId="BodyText">
    <w:name w:val="Body Text"/>
    <w:basedOn w:val="Normal"/>
    <w:link w:val="BodyTextChar"/>
    <w:rsid w:val="00744F2A"/>
    <w:pPr>
      <w:jc w:val="center"/>
    </w:pPr>
    <w:rPr>
      <w:b/>
      <w:szCs w:val="20"/>
    </w:rPr>
  </w:style>
  <w:style w:type="character" w:styleId="FollowedHyperlink">
    <w:name w:val="FollowedHyperlink"/>
    <w:basedOn w:val="DefaultParagraphFont"/>
    <w:rsid w:val="00980D27"/>
    <w:rPr>
      <w:color w:val="800080"/>
      <w:u w:val="single"/>
    </w:rPr>
  </w:style>
  <w:style w:type="character" w:styleId="CommentReference">
    <w:name w:val="annotation reference"/>
    <w:basedOn w:val="DefaultParagraphFont"/>
    <w:rsid w:val="00A16FFF"/>
    <w:rPr>
      <w:sz w:val="16"/>
      <w:szCs w:val="16"/>
    </w:rPr>
  </w:style>
  <w:style w:type="paragraph" w:styleId="CommentText">
    <w:name w:val="annotation text"/>
    <w:basedOn w:val="Normal"/>
    <w:link w:val="CommentTextChar"/>
    <w:rsid w:val="00A16FFF"/>
    <w:rPr>
      <w:sz w:val="20"/>
      <w:szCs w:val="20"/>
    </w:rPr>
  </w:style>
  <w:style w:type="character" w:customStyle="1" w:styleId="CommentTextChar">
    <w:name w:val="Comment Text Char"/>
    <w:basedOn w:val="DefaultParagraphFont"/>
    <w:link w:val="CommentText"/>
    <w:rsid w:val="00A16FFF"/>
  </w:style>
  <w:style w:type="paragraph" w:styleId="CommentSubject">
    <w:name w:val="annotation subject"/>
    <w:basedOn w:val="CommentText"/>
    <w:next w:val="CommentText"/>
    <w:link w:val="CommentSubjectChar"/>
    <w:rsid w:val="00A16FFF"/>
    <w:rPr>
      <w:b/>
      <w:bCs/>
    </w:rPr>
  </w:style>
  <w:style w:type="character" w:customStyle="1" w:styleId="CommentSubjectChar">
    <w:name w:val="Comment Subject Char"/>
    <w:basedOn w:val="CommentTextChar"/>
    <w:link w:val="CommentSubject"/>
    <w:rsid w:val="00A16FFF"/>
    <w:rPr>
      <w:b/>
      <w:bCs/>
    </w:rPr>
  </w:style>
  <w:style w:type="paragraph" w:styleId="ListParagraph">
    <w:name w:val="List Paragraph"/>
    <w:basedOn w:val="Normal"/>
    <w:uiPriority w:val="34"/>
    <w:qFormat/>
    <w:rsid w:val="001E01A3"/>
    <w:pPr>
      <w:ind w:left="720"/>
    </w:pPr>
  </w:style>
  <w:style w:type="paragraph" w:styleId="Revision">
    <w:name w:val="Revision"/>
    <w:hidden/>
    <w:uiPriority w:val="99"/>
    <w:semiHidden/>
    <w:rsid w:val="00E74865"/>
    <w:rPr>
      <w:sz w:val="24"/>
      <w:szCs w:val="24"/>
    </w:rPr>
  </w:style>
  <w:style w:type="character" w:customStyle="1" w:styleId="BodyTextChar">
    <w:name w:val="Body Text Char"/>
    <w:basedOn w:val="DefaultParagraphFont"/>
    <w:link w:val="BodyText"/>
    <w:rsid w:val="00102679"/>
    <w:rPr>
      <w:b/>
      <w:sz w:val="24"/>
    </w:rPr>
  </w:style>
</w:styles>
</file>

<file path=word/webSettings.xml><?xml version="1.0" encoding="utf-8"?>
<w:webSettings xmlns:r="http://schemas.openxmlformats.org/officeDocument/2006/relationships" xmlns:w="http://schemas.openxmlformats.org/wordprocessingml/2006/main">
  <w:divs>
    <w:div w:id="80735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ranjo@cog.ufl.ed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tjones@cog.ufl.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devidas@cog.ufl.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1007/978-1-4419-1586-3" TargetMode="External"/><Relationship Id="rId4" Type="http://schemas.openxmlformats.org/officeDocument/2006/relationships/settings" Target="settings.xml"/><Relationship Id="rId9" Type="http://schemas.openxmlformats.org/officeDocument/2006/relationships/hyperlink" Target="http://lss.at.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A0423-3F5E-4C39-9926-ECB375E0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1682</Words>
  <Characters>9902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Class Syllabus for “Clinical Trials”</vt:lpstr>
    </vt:vector>
  </TitlesOfParts>
  <Company>COG</Company>
  <LinksUpToDate>false</LinksUpToDate>
  <CharactersWithSpaces>11561</CharactersWithSpaces>
  <SharedDoc>false</SharedDoc>
  <HLinks>
    <vt:vector size="12" baseType="variant">
      <vt:variant>
        <vt:i4>7864361</vt:i4>
      </vt:variant>
      <vt:variant>
        <vt:i4>3</vt:i4>
      </vt:variant>
      <vt:variant>
        <vt:i4>0</vt:i4>
      </vt:variant>
      <vt:variant>
        <vt:i4>5</vt:i4>
      </vt:variant>
      <vt:variant>
        <vt:lpwstr>http://lss.at.ufl.edu/</vt:lpwstr>
      </vt:variant>
      <vt:variant>
        <vt:lpwstr/>
      </vt:variant>
      <vt:variant>
        <vt:i4>4456495</vt:i4>
      </vt:variant>
      <vt:variant>
        <vt:i4>0</vt:i4>
      </vt:variant>
      <vt:variant>
        <vt:i4>0</vt:i4>
      </vt:variant>
      <vt:variant>
        <vt:i4>5</vt:i4>
      </vt:variant>
      <vt:variant>
        <vt:lpwstr>mailto:anaranjo@cog.ufl.edu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Syllabus for “Clinical Trials”</dc:title>
  <dc:creator>wlondon</dc:creator>
  <cp:lastModifiedBy>anaranjo</cp:lastModifiedBy>
  <cp:revision>8</cp:revision>
  <cp:lastPrinted>2011-12-08T17:12:00Z</cp:lastPrinted>
  <dcterms:created xsi:type="dcterms:W3CDTF">2012-01-03T19:26:00Z</dcterms:created>
  <dcterms:modified xsi:type="dcterms:W3CDTF">2012-10-12T20:35:00Z</dcterms:modified>
</cp:coreProperties>
</file>